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CBCD" w14:textId="02824B8D" w:rsidR="000337EE" w:rsidRDefault="000337EE">
      <w:r>
        <w:t>Prilog 4</w:t>
      </w:r>
    </w:p>
    <w:p w14:paraId="1FEF0306" w14:textId="7C85C2CA" w:rsidR="006B103E" w:rsidRDefault="006B103E">
      <w:r>
        <w:t>Specijalna bolnica za medicinsku rehabilitaciju Krapinske Toplice</w:t>
      </w:r>
    </w:p>
    <w:p w14:paraId="34DF5928" w14:textId="1B7984F9" w:rsidR="00161F37" w:rsidRPr="006B103E" w:rsidRDefault="006B103E">
      <w:pPr>
        <w:rPr>
          <w:b/>
          <w:bCs/>
        </w:rPr>
      </w:pPr>
      <w:r w:rsidRPr="006B103E">
        <w:rPr>
          <w:b/>
          <w:bCs/>
        </w:rPr>
        <w:t>Radovi na zamjeni podova na hodnicima 4. i 5. kata u objektu NBO</w:t>
      </w:r>
    </w:p>
    <w:p w14:paraId="6631C73A" w14:textId="0E1B885D" w:rsidR="006B103E" w:rsidRDefault="006B103E">
      <w:r>
        <w:t xml:space="preserve">Evidencijski broj </w:t>
      </w:r>
      <w:r w:rsidRPr="00762A18">
        <w:t>nabave: 05-42</w:t>
      </w:r>
      <w:r w:rsidR="00762A18" w:rsidRPr="00762A18">
        <w:t>/749-2025</w:t>
      </w:r>
    </w:p>
    <w:p w14:paraId="7EF52A55" w14:textId="6ED9D360" w:rsidR="006B103E" w:rsidRPr="006B103E" w:rsidRDefault="006B103E" w:rsidP="006B103E">
      <w:pPr>
        <w:jc w:val="center"/>
        <w:rPr>
          <w:b/>
          <w:bCs/>
          <w:u w:val="single"/>
        </w:rPr>
      </w:pPr>
      <w:r w:rsidRPr="006B103E">
        <w:rPr>
          <w:b/>
          <w:bCs/>
          <w:u w:val="single"/>
        </w:rPr>
        <w:t>Tehničke specifikacije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5263"/>
        <w:gridCol w:w="1524"/>
        <w:gridCol w:w="1635"/>
      </w:tblGrid>
      <w:tr w:rsidR="000337EE" w14:paraId="5401F895" w14:textId="7829D425" w:rsidTr="00700A79">
        <w:trPr>
          <w:trHeight w:val="680"/>
        </w:trPr>
        <w:tc>
          <w:tcPr>
            <w:tcW w:w="640" w:type="dxa"/>
            <w:vAlign w:val="center"/>
          </w:tcPr>
          <w:p w14:paraId="04234719" w14:textId="40AB5CC3" w:rsidR="000337EE" w:rsidRDefault="00700A79" w:rsidP="00AC5F1D">
            <w:pPr>
              <w:pStyle w:val="Tijeloteksta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R.b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5263" w:type="dxa"/>
            <w:vAlign w:val="center"/>
          </w:tcPr>
          <w:p w14:paraId="586B4FC4" w14:textId="268B1DEE" w:rsidR="000337EE" w:rsidRDefault="00700A79" w:rsidP="00AC5F1D">
            <w:pPr>
              <w:pStyle w:val="Tijeloteksta"/>
              <w:ind w:right="42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Tražene tehničke specifikacije</w:t>
            </w:r>
          </w:p>
        </w:tc>
        <w:tc>
          <w:tcPr>
            <w:tcW w:w="1524" w:type="dxa"/>
            <w:vAlign w:val="center"/>
          </w:tcPr>
          <w:p w14:paraId="27DFE932" w14:textId="0461AF02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Potvrda tehničkih specifikacija – upisati vrijednost/Da ili Ne</w:t>
            </w:r>
          </w:p>
        </w:tc>
        <w:tc>
          <w:tcPr>
            <w:tcW w:w="1635" w:type="dxa"/>
            <w:vAlign w:val="center"/>
          </w:tcPr>
          <w:p w14:paraId="77BC81DB" w14:textId="226900D9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Broj stranice tehničkog lista/kataloga ili druge tehničke dokumentacije</w:t>
            </w:r>
          </w:p>
        </w:tc>
      </w:tr>
      <w:tr w:rsidR="000337EE" w14:paraId="481E1C64" w14:textId="15CE967D" w:rsidTr="000337EE">
        <w:tc>
          <w:tcPr>
            <w:tcW w:w="640" w:type="dxa"/>
          </w:tcPr>
          <w:p w14:paraId="7C76317F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5263" w:type="dxa"/>
          </w:tcPr>
          <w:p w14:paraId="5D55C527" w14:textId="129F6F7E" w:rsidR="000337EE" w:rsidRDefault="000337EE" w:rsidP="00AC5F1D">
            <w:pPr>
              <w:pStyle w:val="Tijeloteksta"/>
              <w:ind w:right="42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ukupna debljina prema HRN EN ISO 24346:2013:  </w:t>
            </w:r>
            <w:r w:rsidRPr="006B103E">
              <w:rPr>
                <w:rFonts w:ascii="Arial" w:hAnsi="Arial"/>
                <w:b/>
                <w:bCs/>
                <w:sz w:val="22"/>
              </w:rPr>
              <w:t>2 mm</w:t>
            </w:r>
          </w:p>
          <w:p w14:paraId="3E795849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503CD0AB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316FEA7D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7DF420BA" w14:textId="2D839647" w:rsidTr="000337EE">
        <w:tc>
          <w:tcPr>
            <w:tcW w:w="640" w:type="dxa"/>
          </w:tcPr>
          <w:p w14:paraId="4634143A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5263" w:type="dxa"/>
          </w:tcPr>
          <w:p w14:paraId="56F8BE20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ukupna težina prema HRN EN ISO 23997:2013:  </w:t>
            </w:r>
            <w:r w:rsidRPr="006B103E">
              <w:rPr>
                <w:rFonts w:ascii="Arial" w:hAnsi="Arial"/>
                <w:b/>
                <w:bCs/>
                <w:sz w:val="22"/>
              </w:rPr>
              <w:t>2800 g/m</w:t>
            </w:r>
            <w:r w:rsidRPr="006B103E">
              <w:rPr>
                <w:rFonts w:ascii="Arial" w:hAnsi="Arial"/>
                <w:b/>
                <w:bCs/>
                <w:sz w:val="22"/>
                <w:vertAlign w:val="superscript"/>
              </w:rPr>
              <w:t>2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14:paraId="1FA2AF4A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3F2B5F4F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2C28E59B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671DBA72" w14:textId="37FD2D8C" w:rsidTr="000337EE">
        <w:tc>
          <w:tcPr>
            <w:tcW w:w="640" w:type="dxa"/>
          </w:tcPr>
          <w:p w14:paraId="19988745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5263" w:type="dxa"/>
          </w:tcPr>
          <w:p w14:paraId="0B8A13BF" w14:textId="49CEDC6E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širina role prema HRN EN ISO 24341:2013:  </w:t>
            </w:r>
            <w:r w:rsidRPr="006B103E">
              <w:rPr>
                <w:rFonts w:ascii="Arial" w:hAnsi="Arial"/>
                <w:b/>
                <w:bCs/>
                <w:sz w:val="22"/>
              </w:rPr>
              <w:t xml:space="preserve">200 cm </w:t>
            </w:r>
          </w:p>
          <w:p w14:paraId="4B244A45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4A4228A2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06C91D38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1839E17A" w14:textId="6C729A26" w:rsidTr="000337EE">
        <w:tc>
          <w:tcPr>
            <w:tcW w:w="640" w:type="dxa"/>
          </w:tcPr>
          <w:p w14:paraId="7A86A152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4.</w:t>
            </w:r>
          </w:p>
        </w:tc>
        <w:tc>
          <w:tcPr>
            <w:tcW w:w="5263" w:type="dxa"/>
          </w:tcPr>
          <w:p w14:paraId="19E7B4F0" w14:textId="1FEB56DB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duljina role prema HRN EN ISO 24341:2013:   </w:t>
            </w:r>
            <w:r w:rsidRPr="006B103E">
              <w:rPr>
                <w:rFonts w:ascii="Arial" w:hAnsi="Arial"/>
                <w:b/>
                <w:bCs/>
                <w:sz w:val="22"/>
              </w:rPr>
              <w:t>20 m</w:t>
            </w:r>
          </w:p>
          <w:p w14:paraId="69150F43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67F76065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0390957A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4DF4A8A1" w14:textId="5CC30B90" w:rsidTr="000337EE">
        <w:tc>
          <w:tcPr>
            <w:tcW w:w="640" w:type="dxa"/>
          </w:tcPr>
          <w:p w14:paraId="7F8BD68A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5.</w:t>
            </w:r>
          </w:p>
        </w:tc>
        <w:tc>
          <w:tcPr>
            <w:tcW w:w="5263" w:type="dxa"/>
          </w:tcPr>
          <w:p w14:paraId="32B26871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klasifikacija prema HRN EN ISO 10581:2020</w:t>
            </w:r>
          </w:p>
          <w:p w14:paraId="015D77B8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79C677F3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419F6D87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4B22DC24" w14:textId="1C39A232" w:rsidTr="000337EE">
        <w:tc>
          <w:tcPr>
            <w:tcW w:w="640" w:type="dxa"/>
          </w:tcPr>
          <w:p w14:paraId="3DF5F78A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6.</w:t>
            </w:r>
          </w:p>
        </w:tc>
        <w:tc>
          <w:tcPr>
            <w:tcW w:w="5263" w:type="dxa"/>
          </w:tcPr>
          <w:p w14:paraId="202634D0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europska klasifikacija prema HRN EN ISO 10874:2013: </w:t>
            </w:r>
            <w:r w:rsidRPr="006B103E">
              <w:rPr>
                <w:rFonts w:ascii="Arial" w:hAnsi="Arial"/>
                <w:b/>
                <w:bCs/>
                <w:sz w:val="22"/>
              </w:rPr>
              <w:t>34-43</w:t>
            </w:r>
          </w:p>
          <w:p w14:paraId="74C4D492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3E1BCA0B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6A101CF2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6198533B" w14:textId="07336661" w:rsidTr="000337EE">
        <w:tc>
          <w:tcPr>
            <w:tcW w:w="640" w:type="dxa"/>
          </w:tcPr>
          <w:p w14:paraId="13642A3F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7.</w:t>
            </w:r>
          </w:p>
        </w:tc>
        <w:tc>
          <w:tcPr>
            <w:tcW w:w="5263" w:type="dxa"/>
          </w:tcPr>
          <w:p w14:paraId="04B56C36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vatrootpornost HRN EN 13501-1:2019: </w:t>
            </w:r>
            <w:r w:rsidRPr="006B103E">
              <w:rPr>
                <w:rFonts w:ascii="Arial" w:hAnsi="Arial"/>
                <w:b/>
                <w:bCs/>
                <w:sz w:val="22"/>
              </w:rPr>
              <w:t>Bfl-s1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14:paraId="3F05055F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3EABD85E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59EB5162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3821A125" w14:textId="339DF4A5" w:rsidTr="000337EE">
        <w:tc>
          <w:tcPr>
            <w:tcW w:w="640" w:type="dxa"/>
          </w:tcPr>
          <w:p w14:paraId="2BBDEA68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8.</w:t>
            </w:r>
          </w:p>
        </w:tc>
        <w:tc>
          <w:tcPr>
            <w:tcW w:w="5263" w:type="dxa"/>
          </w:tcPr>
          <w:p w14:paraId="2FD667CE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sklonost prema statičkom elektricitetu HRN EN 1815:2016: </w:t>
            </w:r>
            <w:r w:rsidRPr="006B103E">
              <w:rPr>
                <w:rFonts w:ascii="Arial" w:hAnsi="Arial"/>
                <w:b/>
                <w:bCs/>
                <w:sz w:val="22"/>
              </w:rPr>
              <w:t>&lt; 2 kV</w:t>
            </w:r>
          </w:p>
          <w:p w14:paraId="4F592360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29AEF60A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4DBF21D3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2BCA33CC" w14:textId="38818B39" w:rsidTr="000337EE">
        <w:tc>
          <w:tcPr>
            <w:tcW w:w="640" w:type="dxa"/>
          </w:tcPr>
          <w:p w14:paraId="7D2FD52A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9.</w:t>
            </w:r>
          </w:p>
        </w:tc>
        <w:tc>
          <w:tcPr>
            <w:tcW w:w="5263" w:type="dxa"/>
          </w:tcPr>
          <w:p w14:paraId="2F11AC76" w14:textId="226FE2CE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klasa </w:t>
            </w:r>
            <w:proofErr w:type="spellStart"/>
            <w:r>
              <w:rPr>
                <w:rFonts w:ascii="Arial" w:hAnsi="Arial"/>
                <w:sz w:val="22"/>
              </w:rPr>
              <w:t>protukliznosti</w:t>
            </w:r>
            <w:proofErr w:type="spellEnd"/>
            <w:r>
              <w:rPr>
                <w:rFonts w:ascii="Arial" w:hAnsi="Arial"/>
                <w:sz w:val="22"/>
              </w:rPr>
              <w:t xml:space="preserve"> prema DIN 51 130:   </w:t>
            </w:r>
            <w:r w:rsidRPr="006B103E">
              <w:rPr>
                <w:rFonts w:ascii="Arial" w:hAnsi="Arial"/>
                <w:b/>
                <w:bCs/>
                <w:sz w:val="22"/>
              </w:rPr>
              <w:t>R9</w:t>
            </w:r>
          </w:p>
          <w:p w14:paraId="5411FC9D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5114F364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5CC6CEF0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7BC1778E" w14:textId="51FDC718" w:rsidTr="000337EE">
        <w:tc>
          <w:tcPr>
            <w:tcW w:w="640" w:type="dxa"/>
          </w:tcPr>
          <w:p w14:paraId="0731E53E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10.</w:t>
            </w:r>
          </w:p>
        </w:tc>
        <w:tc>
          <w:tcPr>
            <w:tcW w:w="5263" w:type="dxa"/>
          </w:tcPr>
          <w:p w14:paraId="20341D9E" w14:textId="395CCB1C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vrsta veziva prema HRN EN ISO 10581:2020: </w:t>
            </w:r>
            <w:r w:rsidRPr="006B103E">
              <w:rPr>
                <w:rFonts w:ascii="Arial" w:hAnsi="Arial"/>
                <w:b/>
                <w:bCs/>
                <w:sz w:val="22"/>
              </w:rPr>
              <w:t xml:space="preserve"> I</w:t>
            </w:r>
          </w:p>
          <w:p w14:paraId="0A6102AE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46B07D3D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0FCBD1DE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7CA06287" w14:textId="193EE594" w:rsidTr="000337EE">
        <w:tc>
          <w:tcPr>
            <w:tcW w:w="640" w:type="dxa"/>
          </w:tcPr>
          <w:p w14:paraId="48148017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11.</w:t>
            </w:r>
          </w:p>
        </w:tc>
        <w:tc>
          <w:tcPr>
            <w:tcW w:w="5263" w:type="dxa"/>
          </w:tcPr>
          <w:p w14:paraId="5582D5C9" w14:textId="37E8B595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dimenzijska stabilnost prema HRN EN ISO 23999:2021:  </w:t>
            </w:r>
            <w:r w:rsidRPr="006B103E">
              <w:rPr>
                <w:rFonts w:ascii="Arial" w:hAnsi="Arial"/>
                <w:b/>
                <w:bCs/>
                <w:sz w:val="22"/>
              </w:rPr>
              <w:sym w:font="Symbol" w:char="F0A3"/>
            </w:r>
            <w:r w:rsidRPr="006B103E">
              <w:rPr>
                <w:rFonts w:ascii="Arial" w:hAnsi="Arial"/>
                <w:b/>
                <w:bCs/>
                <w:sz w:val="22"/>
              </w:rPr>
              <w:t xml:space="preserve"> 0.40%</w:t>
            </w:r>
          </w:p>
          <w:p w14:paraId="17505B49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00CABC24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1CFA0D86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4AA0D56C" w14:textId="3FE58E58" w:rsidTr="000337EE">
        <w:tc>
          <w:tcPr>
            <w:tcW w:w="640" w:type="dxa"/>
          </w:tcPr>
          <w:p w14:paraId="2FF0D0C1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12.</w:t>
            </w:r>
          </w:p>
        </w:tc>
        <w:tc>
          <w:tcPr>
            <w:tcW w:w="5263" w:type="dxa"/>
          </w:tcPr>
          <w:p w14:paraId="448536EF" w14:textId="758AE8BF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zvučna izolacija prema HRN EN ISO 717-2:2021: </w:t>
            </w:r>
            <w:r w:rsidRPr="006B103E">
              <w:rPr>
                <w:rFonts w:ascii="Arial" w:hAnsi="Arial"/>
                <w:b/>
                <w:bCs/>
                <w:sz w:val="22"/>
              </w:rPr>
              <w:t>5 dB</w:t>
            </w:r>
          </w:p>
          <w:p w14:paraId="459938DA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2226EEB8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64929671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0E042995" w14:textId="66A24A09" w:rsidTr="000337EE">
        <w:tc>
          <w:tcPr>
            <w:tcW w:w="640" w:type="dxa"/>
          </w:tcPr>
          <w:p w14:paraId="17285C24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13.</w:t>
            </w:r>
          </w:p>
        </w:tc>
        <w:tc>
          <w:tcPr>
            <w:tcW w:w="5263" w:type="dxa"/>
          </w:tcPr>
          <w:p w14:paraId="026384A2" w14:textId="6D0FDC7F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zaostalo udubljenje prema HRN EN ISO 24343-1:2013: </w:t>
            </w:r>
            <w:r w:rsidRPr="006B103E">
              <w:rPr>
                <w:rFonts w:ascii="Arial" w:hAnsi="Arial"/>
                <w:b/>
                <w:bCs/>
                <w:sz w:val="22"/>
              </w:rPr>
              <w:sym w:font="Symbol" w:char="F0A3"/>
            </w:r>
            <w:r w:rsidRPr="006B103E">
              <w:rPr>
                <w:rFonts w:ascii="Arial" w:hAnsi="Arial"/>
                <w:b/>
                <w:bCs/>
                <w:sz w:val="22"/>
              </w:rPr>
              <w:t xml:space="preserve"> 0.10 mm</w:t>
            </w:r>
          </w:p>
          <w:p w14:paraId="3EE3ED21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490CE042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7AFF2511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18D613CF" w14:textId="293DE94D" w:rsidTr="000337EE">
        <w:tc>
          <w:tcPr>
            <w:tcW w:w="640" w:type="dxa"/>
          </w:tcPr>
          <w:p w14:paraId="50BBF84B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14.</w:t>
            </w:r>
          </w:p>
        </w:tc>
        <w:tc>
          <w:tcPr>
            <w:tcW w:w="5263" w:type="dxa"/>
          </w:tcPr>
          <w:p w14:paraId="563133CE" w14:textId="148AF0BF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zaostalo udubljenje (prosječno izmjerena vrijednosti):  </w:t>
            </w:r>
            <w:r w:rsidRPr="006B103E">
              <w:rPr>
                <w:rFonts w:ascii="Arial" w:hAnsi="Arial" w:cs="Arial"/>
                <w:b/>
                <w:bCs/>
                <w:sz w:val="22"/>
              </w:rPr>
              <w:t>≈</w:t>
            </w:r>
            <w:r w:rsidRPr="006B103E">
              <w:rPr>
                <w:rFonts w:ascii="Arial" w:hAnsi="Arial"/>
                <w:b/>
                <w:bCs/>
                <w:sz w:val="22"/>
              </w:rPr>
              <w:t xml:space="preserve"> 0.02 mm</w:t>
            </w:r>
          </w:p>
          <w:p w14:paraId="389D4884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04F3D243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472BE6A5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2A367E86" w14:textId="7A3C2034" w:rsidTr="000337EE">
        <w:tc>
          <w:tcPr>
            <w:tcW w:w="640" w:type="dxa"/>
          </w:tcPr>
          <w:p w14:paraId="67C299E7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15.</w:t>
            </w:r>
          </w:p>
        </w:tc>
        <w:tc>
          <w:tcPr>
            <w:tcW w:w="5263" w:type="dxa"/>
          </w:tcPr>
          <w:p w14:paraId="0B065969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otpornost na kotačiće namještaja prema HRN EN ISO 4918:2021    </w:t>
            </w:r>
          </w:p>
          <w:p w14:paraId="556BCB20" w14:textId="13745976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235C625E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6FAC6A0B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4107838B" w14:textId="446D0B47" w:rsidTr="000337EE">
        <w:tc>
          <w:tcPr>
            <w:tcW w:w="640" w:type="dxa"/>
          </w:tcPr>
          <w:p w14:paraId="07A0B45F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16.</w:t>
            </w:r>
          </w:p>
        </w:tc>
        <w:tc>
          <w:tcPr>
            <w:tcW w:w="5263" w:type="dxa"/>
          </w:tcPr>
          <w:p w14:paraId="3B34643F" w14:textId="3AC1D7A8" w:rsidR="000337EE" w:rsidRPr="006B103E" w:rsidRDefault="000337EE" w:rsidP="00AC5F1D">
            <w:pPr>
              <w:pStyle w:val="Tijeloteksta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toplinska provodljivost prema HRN EN ISO 10456:2008: </w:t>
            </w:r>
            <w:r w:rsidRPr="006B103E">
              <w:rPr>
                <w:rFonts w:ascii="Arial" w:hAnsi="Arial"/>
                <w:b/>
                <w:bCs/>
                <w:sz w:val="22"/>
              </w:rPr>
              <w:t>0,25 W/(</w:t>
            </w:r>
            <w:proofErr w:type="spellStart"/>
            <w:r w:rsidRPr="006B103E">
              <w:rPr>
                <w:rFonts w:ascii="Arial" w:hAnsi="Arial"/>
                <w:b/>
                <w:bCs/>
                <w:sz w:val="22"/>
              </w:rPr>
              <w:t>m.K</w:t>
            </w:r>
            <w:proofErr w:type="spellEnd"/>
            <w:r w:rsidRPr="006B103E">
              <w:rPr>
                <w:rFonts w:ascii="Arial" w:hAnsi="Arial"/>
                <w:b/>
                <w:bCs/>
                <w:sz w:val="22"/>
              </w:rPr>
              <w:t>)</w:t>
            </w:r>
          </w:p>
          <w:p w14:paraId="63F6A684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085F09CC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26567032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4D84D8AA" w14:textId="5D1AF9FD" w:rsidTr="000337EE">
        <w:tc>
          <w:tcPr>
            <w:tcW w:w="640" w:type="dxa"/>
          </w:tcPr>
          <w:p w14:paraId="584E3A52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17.</w:t>
            </w:r>
          </w:p>
        </w:tc>
        <w:tc>
          <w:tcPr>
            <w:tcW w:w="5263" w:type="dxa"/>
          </w:tcPr>
          <w:p w14:paraId="4C2038ED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postojanost boja prema EN 20 105-B02  </w:t>
            </w:r>
            <w:r w:rsidRPr="006B103E">
              <w:rPr>
                <w:rFonts w:ascii="Arial" w:hAnsi="Arial"/>
                <w:b/>
                <w:bCs/>
                <w:sz w:val="22"/>
              </w:rPr>
              <w:t>≥ 6 stupnjeva</w:t>
            </w:r>
          </w:p>
          <w:p w14:paraId="0B34AD79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7EEFB878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6EF55837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2C09A991" w14:textId="5546391B" w:rsidTr="000337EE">
        <w:tc>
          <w:tcPr>
            <w:tcW w:w="640" w:type="dxa"/>
          </w:tcPr>
          <w:p w14:paraId="7C78E25F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18.</w:t>
            </w:r>
          </w:p>
        </w:tc>
        <w:tc>
          <w:tcPr>
            <w:tcW w:w="5263" w:type="dxa"/>
          </w:tcPr>
          <w:p w14:paraId="449156F0" w14:textId="4516EAF1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otpornost na kemijske proizvode HRN EN ISO 26987:2013  </w:t>
            </w:r>
          </w:p>
          <w:p w14:paraId="16C11BEB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0958BAF9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020995DB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5C71C0C1" w14:textId="44C6AC41" w:rsidTr="000337EE">
        <w:tc>
          <w:tcPr>
            <w:tcW w:w="640" w:type="dxa"/>
          </w:tcPr>
          <w:p w14:paraId="09BAE19E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19.</w:t>
            </w:r>
          </w:p>
        </w:tc>
        <w:tc>
          <w:tcPr>
            <w:tcW w:w="5263" w:type="dxa"/>
          </w:tcPr>
          <w:p w14:paraId="616E17E1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antibakterijsko djelovanje (</w:t>
            </w:r>
            <w:proofErr w:type="spellStart"/>
            <w:r>
              <w:rPr>
                <w:rFonts w:ascii="Arial" w:hAnsi="Arial"/>
                <w:sz w:val="22"/>
              </w:rPr>
              <w:t>E.coli</w:t>
            </w:r>
            <w:proofErr w:type="spellEnd"/>
            <w:r>
              <w:rPr>
                <w:rFonts w:ascii="Arial" w:hAnsi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</w:rPr>
              <w:t>S.aureus</w:t>
            </w:r>
            <w:proofErr w:type="spellEnd"/>
            <w:r>
              <w:rPr>
                <w:rFonts w:ascii="Arial" w:hAnsi="Arial"/>
                <w:sz w:val="22"/>
              </w:rPr>
              <w:t xml:space="preserve">, MRSA) prema ISO 22196 </w:t>
            </w:r>
            <w:r w:rsidRPr="006B103E">
              <w:rPr>
                <w:rFonts w:ascii="Arial" w:hAnsi="Arial"/>
                <w:b/>
                <w:bCs/>
                <w:sz w:val="22"/>
              </w:rPr>
              <w:t>sprječava rast 99%</w:t>
            </w:r>
          </w:p>
          <w:p w14:paraId="5796F664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55774A7F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14CB0E36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035B9E59" w14:textId="4CECFADE" w:rsidTr="000337EE">
        <w:tc>
          <w:tcPr>
            <w:tcW w:w="640" w:type="dxa"/>
          </w:tcPr>
          <w:p w14:paraId="12FC850E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20.</w:t>
            </w:r>
          </w:p>
        </w:tc>
        <w:tc>
          <w:tcPr>
            <w:tcW w:w="5263" w:type="dxa"/>
          </w:tcPr>
          <w:p w14:paraId="7C8934DC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anitvirusna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aktivnost (ljudski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coronavirus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229E) prema ISO 21702  </w:t>
            </w:r>
            <w:r w:rsidRPr="006B10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99,7% poslije 2h</w:t>
            </w:r>
          </w:p>
          <w:p w14:paraId="36BDE6C4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2E4AB702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3A60FAE7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18C77AEC" w14:textId="35864B1B" w:rsidTr="000337EE">
        <w:tc>
          <w:tcPr>
            <w:tcW w:w="640" w:type="dxa"/>
          </w:tcPr>
          <w:p w14:paraId="6CD66EE8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21.</w:t>
            </w:r>
          </w:p>
        </w:tc>
        <w:tc>
          <w:tcPr>
            <w:tcW w:w="5263" w:type="dxa"/>
          </w:tcPr>
          <w:p w14:paraId="7969AB6B" w14:textId="77777777" w:rsidR="000337EE" w:rsidRPr="006B103E" w:rsidRDefault="000337EE" w:rsidP="00AC5F1D">
            <w:pPr>
              <w:pStyle w:val="Tijeloteksta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ukupna emisija lako hlapljivih spojeva (TVOC) nakon 28 dana HRN ISO 16000-6:2022 </w:t>
            </w:r>
            <w:r w:rsidRPr="006B103E">
              <w:rPr>
                <w:rFonts w:ascii="Arial" w:hAnsi="Arial"/>
                <w:b/>
                <w:bCs/>
                <w:sz w:val="22"/>
              </w:rPr>
              <w:t xml:space="preserve">&lt; 10 </w:t>
            </w:r>
            <w:proofErr w:type="spellStart"/>
            <w:r w:rsidRPr="006B103E">
              <w:rPr>
                <w:rFonts w:ascii="Arial" w:hAnsi="Arial"/>
                <w:b/>
                <w:bCs/>
                <w:sz w:val="22"/>
              </w:rPr>
              <w:t>ųg</w:t>
            </w:r>
            <w:proofErr w:type="spellEnd"/>
            <w:r w:rsidRPr="006B103E">
              <w:rPr>
                <w:rFonts w:ascii="Arial" w:hAnsi="Arial"/>
                <w:b/>
                <w:bCs/>
                <w:sz w:val="22"/>
              </w:rPr>
              <w:t>/m</w:t>
            </w:r>
            <w:r w:rsidRPr="006B103E">
              <w:rPr>
                <w:rFonts w:ascii="Arial" w:hAnsi="Arial"/>
                <w:b/>
                <w:bCs/>
                <w:sz w:val="22"/>
                <w:vertAlign w:val="superscript"/>
              </w:rPr>
              <w:t>3</w:t>
            </w:r>
          </w:p>
          <w:p w14:paraId="65E232DC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31C62007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7BFC26D1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4841590C" w14:textId="136A223B" w:rsidTr="000337EE">
        <w:tc>
          <w:tcPr>
            <w:tcW w:w="640" w:type="dxa"/>
          </w:tcPr>
          <w:p w14:paraId="37C36310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22.</w:t>
            </w:r>
          </w:p>
        </w:tc>
        <w:tc>
          <w:tcPr>
            <w:tcW w:w="5263" w:type="dxa"/>
          </w:tcPr>
          <w:p w14:paraId="5DBC208C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izjava o svojstvima (</w:t>
            </w:r>
            <w:proofErr w:type="spellStart"/>
            <w:r>
              <w:rPr>
                <w:rFonts w:ascii="Arial" w:hAnsi="Arial"/>
                <w:sz w:val="22"/>
              </w:rPr>
              <w:t>DoP</w:t>
            </w:r>
            <w:proofErr w:type="spellEnd"/>
            <w:r>
              <w:rPr>
                <w:rFonts w:ascii="Arial" w:hAnsi="Arial"/>
                <w:sz w:val="22"/>
              </w:rPr>
              <w:t xml:space="preserve">) prema HRN EN 14041:2018 </w:t>
            </w:r>
          </w:p>
          <w:p w14:paraId="15397C7E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5969BB40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69AFE01D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558DFCD5" w14:textId="1B359899" w:rsidTr="000337EE">
        <w:tc>
          <w:tcPr>
            <w:tcW w:w="640" w:type="dxa"/>
          </w:tcPr>
          <w:p w14:paraId="0E01F030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23.</w:t>
            </w:r>
          </w:p>
        </w:tc>
        <w:tc>
          <w:tcPr>
            <w:tcW w:w="5263" w:type="dxa"/>
          </w:tcPr>
          <w:p w14:paraId="7B681835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certifikat </w:t>
            </w:r>
            <w:proofErr w:type="spellStart"/>
            <w:r>
              <w:rPr>
                <w:rFonts w:ascii="Arial" w:hAnsi="Arial"/>
                <w:sz w:val="22"/>
              </w:rPr>
              <w:t>Floorscore</w:t>
            </w:r>
            <w:proofErr w:type="spellEnd"/>
            <w:r>
              <w:rPr>
                <w:rFonts w:ascii="Arial" w:hAnsi="Arial"/>
                <w:sz w:val="22"/>
              </w:rPr>
              <w:t>®</w:t>
            </w:r>
          </w:p>
          <w:p w14:paraId="6375A0FD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32ADEDF1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722BD3CF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  <w:tr w:rsidR="000337EE" w14:paraId="1DA05B01" w14:textId="1669AF2D" w:rsidTr="000337EE">
        <w:tc>
          <w:tcPr>
            <w:tcW w:w="640" w:type="dxa"/>
          </w:tcPr>
          <w:p w14:paraId="43295FC1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24.</w:t>
            </w:r>
          </w:p>
        </w:tc>
        <w:tc>
          <w:tcPr>
            <w:tcW w:w="5263" w:type="dxa"/>
          </w:tcPr>
          <w:p w14:paraId="254B49EE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trajni površinski tretman – uklanja potrebu za laštenjem, otpornost na kiseline i lužine, lako održavanje</w:t>
            </w:r>
          </w:p>
          <w:p w14:paraId="545FE8A1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524" w:type="dxa"/>
          </w:tcPr>
          <w:p w14:paraId="7E6C5907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  <w:tc>
          <w:tcPr>
            <w:tcW w:w="1635" w:type="dxa"/>
          </w:tcPr>
          <w:p w14:paraId="6F72184D" w14:textId="77777777" w:rsidR="000337EE" w:rsidRDefault="000337EE" w:rsidP="00AC5F1D">
            <w:pPr>
              <w:pStyle w:val="Tijeloteksta"/>
              <w:rPr>
                <w:rFonts w:ascii="Arial" w:hAnsi="Arial"/>
                <w:sz w:val="22"/>
              </w:rPr>
            </w:pPr>
          </w:p>
        </w:tc>
      </w:tr>
    </w:tbl>
    <w:p w14:paraId="474F6361" w14:textId="77777777" w:rsidR="006B103E" w:rsidRDefault="006B103E" w:rsidP="006B103E">
      <w:pPr>
        <w:jc w:val="center"/>
      </w:pPr>
    </w:p>
    <w:p w14:paraId="3AC57AAE" w14:textId="77777777" w:rsidR="000337EE" w:rsidRDefault="000337EE" w:rsidP="000337EE"/>
    <w:p w14:paraId="3700D611" w14:textId="77777777" w:rsidR="000337EE" w:rsidRDefault="000337EE" w:rsidP="000337EE"/>
    <w:p w14:paraId="2E199A07" w14:textId="28570DFC" w:rsidR="000337EE" w:rsidRDefault="000337EE" w:rsidP="000337EE">
      <w:r>
        <w:t>U _____________________ dana ____________ 2025. godine</w:t>
      </w:r>
    </w:p>
    <w:p w14:paraId="23998752" w14:textId="77777777" w:rsidR="000337EE" w:rsidRDefault="000337EE" w:rsidP="000337EE"/>
    <w:p w14:paraId="302530E6" w14:textId="77777777" w:rsidR="000337EE" w:rsidRDefault="000337EE" w:rsidP="000337EE"/>
    <w:p w14:paraId="11F53CE0" w14:textId="5798A589" w:rsidR="000337EE" w:rsidRDefault="000337EE" w:rsidP="000337EE">
      <w:r>
        <w:t xml:space="preserve">                                                           M.P.                       ___________________________________</w:t>
      </w:r>
    </w:p>
    <w:p w14:paraId="5BC9C409" w14:textId="7CF24F30" w:rsidR="000337EE" w:rsidRPr="000337EE" w:rsidRDefault="000337EE" w:rsidP="000337EE">
      <w:pPr>
        <w:rPr>
          <w:i/>
          <w:iCs/>
        </w:rPr>
      </w:pPr>
      <w:r w:rsidRPr="000337EE">
        <w:rPr>
          <w:i/>
          <w:iCs/>
        </w:rPr>
        <w:t xml:space="preserve">                                                                                               (potpis ovlaštene osobe ponuditelja)</w:t>
      </w:r>
    </w:p>
    <w:sectPr w:rsidR="000337EE" w:rsidRPr="00033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9F"/>
    <w:rsid w:val="000337EE"/>
    <w:rsid w:val="000B65DA"/>
    <w:rsid w:val="00161F37"/>
    <w:rsid w:val="0022509E"/>
    <w:rsid w:val="00266854"/>
    <w:rsid w:val="00285E8A"/>
    <w:rsid w:val="003B5345"/>
    <w:rsid w:val="003C14A6"/>
    <w:rsid w:val="0046203E"/>
    <w:rsid w:val="00585F53"/>
    <w:rsid w:val="00621717"/>
    <w:rsid w:val="006B089F"/>
    <w:rsid w:val="006B103E"/>
    <w:rsid w:val="00700A79"/>
    <w:rsid w:val="00757AA8"/>
    <w:rsid w:val="00762A18"/>
    <w:rsid w:val="00937BC3"/>
    <w:rsid w:val="009A7291"/>
    <w:rsid w:val="00AB5D6A"/>
    <w:rsid w:val="00C0769C"/>
    <w:rsid w:val="00F4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38DFE"/>
  <w15:chartTrackingRefBased/>
  <w15:docId w15:val="{097D331D-3624-44D4-8337-5AB8AE5E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B0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B0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B08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B0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B08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B0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B0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B0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B0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B0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B0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B08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B089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B089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B089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B089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B089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B089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B0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B0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B0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B0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0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B089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B089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B089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B0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B089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B089F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rsid w:val="006B103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ijelotekstaChar">
    <w:name w:val="Tijelo teksta Char"/>
    <w:basedOn w:val="Zadanifontodlomka"/>
    <w:link w:val="Tijeloteksta"/>
    <w:semiHidden/>
    <w:rsid w:val="006B103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Odsjek za javnu nabavu 1</dc:creator>
  <cp:keywords/>
  <dc:description/>
  <cp:lastModifiedBy>Odsjek za javnu nabavu 1</cp:lastModifiedBy>
  <cp:revision>6</cp:revision>
  <dcterms:created xsi:type="dcterms:W3CDTF">2025-11-25T06:57:00Z</dcterms:created>
  <dcterms:modified xsi:type="dcterms:W3CDTF">2025-11-27T13:44:00Z</dcterms:modified>
</cp:coreProperties>
</file>