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5773146c35d472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40711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SPECIJALNA BOLNICA ZA MEDICINSKU REHABILITACIJU KRAPINSKE TOPLICE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37.852.853,33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37.041.091,79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32.151.912,32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30.606.350,74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5.700.941,01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6.434.741,05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3.143.412,34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9.887.556,30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3.141.747,15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9.886.952,84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3.452.211,79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 siječnja do 31. prosinca 2025. prihodi poslovanja ostvareni su u iznosu od 37.041.091,79 eur. Najznačajnije relativno povećanje prihoda poslovanja ostvareno je od tekućih pomoći proračunskim korisnicima iz proračuna koji im nije nadležan i kapitalnih donacija te prihoda iz nadležnog proračuna za financiranje rashoda za nabavu nefinancijske imovine. Najznačajnije smanjenje prihoda poslovanja bilježi se na prihodima od kapitalnih pomoći proračunskim korisnicima iz proračuna koji im nije nadležan. Rashodi poslovanja u razdoblju od 1. siječnja do 31. prosinca 2025. ostvareni su u iznosu od 30.606.350,74 eur. Najznačajnije relativno povećanje rashoda evidentirano je na rashodima za stručno usavršavanje zaposlenika, službena putovanja, tekuće donacije i donacie u novcu. Najznačajnije smanjenje rashoda poslovanja bilježi se na kapitalnim prijenosima između proračunskih korisnika istog proračuna, pomoćima danim unutar općeg proračuna. U navedenom razdoblju ostvareni prihodi od prodaje nefinancijske imovine iznose 603,46 eur, dok su rashodi za nabavu nefinancijske imovine ostvareni u iznosu od 9.887.556,30 eur. Navedeni rashod odnosi se najvećim dijelom na dodatna ulaganja na građevinskim objektima u okviru obnove / sanacije stare zgrade Bolnice. U navedenom razdoblju ostvareno je primitaka i izdataka od financijske imovine i zađuživanja u iznosu 1.500,00 eur prilikom dane jamčevine i evidentiranog povrata iste. U razdoblju od 1. siječnja do 31. prosinca 2025. ostvaren je višak prihoda poslovanja u iznosu od 6.434.741,05 eur, manjak prihoda od nefinancijske imovine u iznosu od 9.886.952,84 eur, slijedom čega je na kraju izvještajnog razdoblja ostvaren ukupan manjak prihoda i primitaka u iznosu od 3.452.211,79 eur. Uplate HZZO-a tijekom 2025. godine u visini neizvršenih usluga koje su sukladno uputi Ministarstva financija i Ministarstva zdravstva od 24. rujna 2020. godine knjižene na obvezu za primljene predujmove iznose 3.199.644,51 eur. Da su navedena sredstva knjižena na poziciji prihoda financijski rezultat bio bi manjak prihoda u ukupnom iznosu 252.567,28 eur.</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37.852.853,33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37.041.091,79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w:t>
            </w:r>
          </w:p>
        </w:tc>
      </w:tr>
    </w:tbl>
    <w:p>
      <w:pPr>
        <w:spacing w:before="0" w:after="0"/>
      </w:pPr>
    </w:p>
    <w:p>
      <w:r>
        <w:t xml:space="preserve">U razdoblju od 1. siječnja do 31. prosinca 2025. prihodi poslovanja ostvareni su u iznosu od 37.041.091,79 eur. Najznačajnije relativno povećanje prihoda poslovanja ostvareno je od tekućih pomoći proračunskim korisnicima iz proračuna koji im nije nadležan i kapitalnih donacija te prihoda iz nadležnog proračuna za financiranje rashoda za nabavu nefinancijske imovine. Najznačajnije smanjenje prihoda poslovanja bilježi se na prihodima od kapitalnih pomoći proračunskim korisnicima iz proračuna koji im nije nadležan.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721.569,04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237.610,59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w:t>
            </w:r>
          </w:p>
        </w:tc>
      </w:tr>
    </w:tbl>
    <w:p>
      <w:pPr>
        <w:spacing w:before="0" w:after="0"/>
      </w:pPr>
    </w:p>
    <w:p>
      <w:r>
        <w:t xml:space="preserve">Temeljem Ugovora s HZZO pripravnički staž u našoj ustanovi obavljala je jedna magistra medicinske biokemije i laboratorijske medicine te je temeljem navedenog ugovora u 2024. godini evidentiran prihod od 432,04 eur, a što se odnosi na razdoblje posljednjeg mjeseca pripravničkog staža za navedenu djelatnicu ( razdoblje 01.-13.11.2023.) Pored navedenog, u godišnjem izvještajnom razdoblju u 2024. godini evidentiran je prihod temeljem tekućih pomoći od HZZO – namjenska pomoć za podmirenje dospjelih obveza za lijekove i medicinski potrošni materijal u iznosu 721.137,00 eur. Tijekom istog izvještajnog perioda u 2025. godini evidentirani su prihodi po osnovi tekuće pomoći od HZZO-a za refundaciju plaće pripravnika u iznosu od 38.620,59 eur. Namjenska pomoći od HZZO-a za podmirenje obveza za lijekove i medicinski potrošni materijal u 2025. godini iznosila je 198.990,00 eur.  Obzirom na navedeno, navedena skupina prihoda bilježi smanjenje za 67,1% u odnosu na isto izvještajno razdoblje prošle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1.472.399,50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1.129.539,14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w:t>
            </w:r>
          </w:p>
        </w:tc>
      </w:tr>
    </w:tbl>
    <w:p>
      <w:pPr>
        <w:spacing w:before="0" w:after="0"/>
      </w:pPr>
    </w:p>
    <w:p>
      <w:r>
        <w:t xml:space="preserve">Podskupina prihoda 636 bilježi smanjenje za 23,3% u odnosu na isto izvještajno razdoblje prošle godine.</w:t>
      </w:r>
    </w:p>
    <w:p>
      <w:r>
        <w:t xml:space="preserve">Prihodi na odjeljku 6361 - Tekuće pomoći proračunskim korisnicima iz proračuna koji nije nadležan ostvareno je povećanje za 340,4%. Osim evidentiranih prihoda tekućih pomoći temeljem Uredbe Vlade u troškovima isporuke električne energije, u 2025. godini ostvareni su prihodi Ministarstva zdravstva po osnovi namjenske pomoći za podmirenje dospjelih obveza prema dobavljačima lijekova, medicinskog potrošnog i ugradbenog materijala u ukupnom iznosu 693.895,00 eur.</w:t>
      </w:r>
    </w:p>
    <w:p>
      <w:r>
        <w:t xml:space="preserve">Prihodi na odjeljku 6362 – Kapitalne pomoći proračunskim korisnicima iz proračuna koji im nije nadležan bilježi smanjenje za 81,6%. Na ovoj je poziciji evidentirana kapitalna pomoć od strane Ministarstva zdravstva temeljem zahtjeva za nadoknadom sredstva broj 13. Uzimajući u obzir preplatu po ZNS-u br. 12 te ugovorni predujam br. 4, Ministarstvo je izvršilo uplatu u iznosu od 186.098,90 EUR. Tijekom istog izvještajnog razdobalja u 2024. na ovoj je poziciji  evidentiran je prihod od strane Ministarstva zdravstva u ukupnom iznosu 1.240.023,43 eur od čega se iznos od 726.270,96 eur odnosi na predujam temeljem Ugovora o bespovratnim sredstvima. U prošloj je godini na istoj poziciji evidentiran i prihod od Fonda za zaštitu okoliša i energetske učinkovitosti u iznosu 29.008,12 eur.</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201.059,73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86.972,26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w:t>
            </w:r>
          </w:p>
        </w:tc>
      </w:tr>
    </w:tbl>
    <w:p>
      <w:pPr>
        <w:spacing w:before="0" w:after="0"/>
      </w:pPr>
    </w:p>
    <w:p>
      <w:r>
        <w:t xml:space="preserve">U 2024. godini iznosi 201.059,73 eur a odnosi se na pomoći HZZ-a za mjeru Pripravništvo, sredstva za 8 pripravnika prema Planu prijema pripravnika Ministarstva zdravstva. U 2025. godini, sukladno uputi iz Okružnice Ministarstva financija, prihodi iz izvora EU sredstava za pripravnike za koje su rashodi evidentirani tijekom 2025. godine, napravljena je korekcija rezultata za 2024. godinu te priznat prihod u 2025. godini u iznosu 86.972,26 eur.</w:t>
      </w:r>
    </w:p>
    <w:p>
      <w:r>
        <w:t xml:space="preserve">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7.747.112,63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5.126.544,68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w:t>
            </w:r>
          </w:p>
        </w:tc>
      </w:tr>
    </w:tbl>
    <w:p>
      <w:pPr>
        <w:spacing w:before="0" w:after="0"/>
      </w:pPr>
    </w:p>
    <w:p>
      <w:r>
        <w:t xml:space="preserve">Navedeni prihodi odnose se na nadoknadu sredstava iz Fonda solidarnosti Europske unije u svrhu sanacije štete od potresa na „Staroj zgradi” Bolnice, Ugovor broj FSEU.2022.MZ.022 te je u 2024. evidentiran prihod u ukupnom iznosu 7.747.112,63 eur  U 2025. godini, sukladno uputi iz Okružnice Ministarstva financija, za predujam iz izvora EU sredstava za koji je u 2024. godini priznat prihod, napravljena je korekcija rezultata za 2024. godinu u iznosu 3.222.042,51 eur te priznat prihod u 2025. godini. Pored navedenog priznat je prihod po osnovi odobrenog ZNS 16 u iznosu 70% potraživanog iznosa, odnosno 2.336.040,76 eur. Slijedom navedenog na ovoj skupini prihoda evidentirano je ukupno 5.126.544,68 eur prihoda.</w:t>
      </w:r>
    </w:p>
    <w:p>
      <w:r>
        <w:t xml:space="preserv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155,1</w:t>
            </w:r>
          </w:p>
        </w:tc>
      </w:tr>
    </w:tbl>
    <w:p>
      <w:pPr>
        <w:spacing w:before="0" w:after="0"/>
      </w:pPr>
    </w:p>
    <w:p>
      <w:r>
        <w:t xml:space="preserve">Tijekom godišnjeg izvještajnog razdoblja u  2024. evidentirani su prihodi po osnovi avista kamate u ukupnom iznosu 741,68 eur na depozite po viđenju, dok u istom razdoblju 2025. iznose 1.150,06 eur što je ostvarenje veće za 55,1% u odnosu na prošlu godinu. Unatoč padu primijenjene kamatne stope, apsolutno ostvarenje je veće uslijed većeg iznosa avista sredstava na podračunu za primljena jamstva dobavljača i podračunu za namjenska sredstva projekta FSEU.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zateznih kamata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tijekom postupka prisilne naplate potraživanja evidentirani su prihodi po osnovi obračunatih zateznih kamata u ukupnom iznosu 586,61 eur.  U protekloj godini nije bilo evidentiranih prihoda po navedenoj osnovi.</w:t>
      </w:r>
    </w:p>
    <w:p>
      <w:r>
        <w:t xml:space="preserve">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tijekom postupka prisilne naplate potraživanja evidentirani su prihodi po osnovi refundacije troškova postupka ovrhe koji iznose ukupno 212,50 eur. Veza navedenog prihoda jest račun rashoda 3295 – Javnobilježničke pristojbe gdje se knjiži navedeni trošak prilikom plaćanja računa javnom bilježniku za provođenje postupka prisilne naplate. U protekloj godini nije bilo evidentiranih prihoda po navedenoj osnovi.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3.714.966,78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3.282.197,13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w:t>
            </w:r>
          </w:p>
        </w:tc>
      </w:tr>
    </w:tbl>
    <w:p>
      <w:pPr>
        <w:spacing w:before="0" w:after="0"/>
      </w:pPr>
    </w:p>
    <w:p>
      <w:r>
        <w:t xml:space="preserve">Ostvarenje manje za 11,6 % i iznosi 3.282.197,13 eura.  Smanjenje prihoda u odnosu na prošlu godinu bilježe: prihodi od participacija u stacionaru 25,1%, prihodi od participacija u poliklinici 20,3% , prihodi od osiguravajućih kuća 2,7%, prihodi od HZZO-a po osnovi dopunskog osiguranja u stacionaru 20,5%n prihodi od HZZO-a po osnovi dopunskog osiguranja u poliklinici 0,5%. U 2024. godini na ovoj je skupini prihoda knjižen iznos refundacija od djelatnika -  2.972,68 eur, Prihoda temeljem refundacije šteta od osiguravajućih kuća nema u 2025. godini dok su u 2024. iznosili 6.222,44 eur. U 2025. evidentiran je prihod na temelju refundacija rashoda iz proteklih godina u iznosu od 20.380,66 eur.</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151.610,44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185.993,90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122,7</w:t>
            </w:r>
          </w:p>
        </w:tc>
      </w:tr>
    </w:tbl>
    <w:p>
      <w:pPr>
        <w:spacing w:before="0" w:after="0"/>
      </w:pPr>
    </w:p>
    <w:p>
      <w:r>
        <w:t xml:space="preserve">Ostvarenje veće za 22,7% u odnosu na prošlu godinu i ukupno iznosi 185.993,90 eur. Prihodi se odnose na prodaju proizvoda na šanku Bolnice, a u 2024. godini i u slastičarni Bolnice koja tijekom 2025. godine nije radila uslijed prenamjene prostora. Na povećanje prihoda utjecala je i korekcija cijena te promjena cjenika proizvoda.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23.018,50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59.873,57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260,1</w:t>
            </w:r>
          </w:p>
        </w:tc>
      </w:tr>
    </w:tbl>
    <w:p>
      <w:pPr>
        <w:spacing w:before="0" w:after="0"/>
      </w:pPr>
    </w:p>
    <w:p>
      <w:r>
        <w:t xml:space="preserve">Donacije od pravnih i fizičkih osoba izvan općeg proračuna knjižene na podskupini prihoda 663 porasle su za 160,1% u 2025. godini. Tekuće donacije porasle su za 2,6% dok su kapitalne donacije porasle za 369,3% te iznose 46.409,81 eur. Odnose se na kapitalne donacije od fizičkih osoba u iznosu 779,00 eur, kapitalnih donacija od neprofitnih organizacija u iznosu 31.000,00 eur, kapitalne donacije od trgovačkih društava u iznosu 14.630,81 eur.</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195.750,95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291.841,61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149,1</w:t>
            </w:r>
          </w:p>
        </w:tc>
      </w:tr>
    </w:tbl>
    <w:p>
      <w:pPr>
        <w:spacing w:before="0" w:after="0"/>
      </w:pPr>
    </w:p>
    <w:p>
      <w:r>
        <w:t xml:space="preserve">U odnosu na 2024. navedeni prihodi veći su za 49,1%. U 2025. godini ostvareni su prihodi u ukupnom iznosu 291.841,61 eur, a odnose se na pomoć KZŽ za redovno poslovanje – decentralizirana sredstva u iznosu od 229.902,94 eur te pomoć za redovno poslovanje KZŽ u iznosu 61.938,67 eur.</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860.366,13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3.397.460,68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394,9</w:t>
            </w:r>
          </w:p>
        </w:tc>
      </w:tr>
    </w:tbl>
    <w:p>
      <w:pPr>
        <w:spacing w:before="0" w:after="0"/>
      </w:pPr>
    </w:p>
    <w:p>
      <w:r>
        <w:t xml:space="preserve">U odnosu na isto izvještajno razdoblje prošle godine navedeni prihodi veći su za 294,9%. U 2025. godini na navedenoj je poziciji ostvaren ukupan prihod od decentraliziranih sredstava za nabavu nefinancijske imovine u iznosu od 392.527,77 eur te prihod od nadležnog proračuna za nabavu nefinancijske imovine u ukupnom iznosu 426.279,49 eur. Financijska sredstva KZŽ za premošćivanje plaćanja troškova X., XI., XII. i XIII. privremene situacije cjelovite obnove FSEU iznose ukupno 2.578.653,42 eur.</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36.551,81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53.653,90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146,8</w:t>
            </w:r>
          </w:p>
        </w:tc>
      </w:tr>
    </w:tbl>
    <w:p>
      <w:pPr>
        <w:spacing w:before="0" w:after="0"/>
      </w:pPr>
    </w:p>
    <w:p>
      <w:r>
        <w:t xml:space="preserve">Prihodi na skupini 68 u odnosu na isto izvještajno razdoblje prošle godine porasli su za 46,8%. Navedeno se odnosi na odjeljak 6831 – Ostali prihodi koji bilježe iznos od 53.653,90 eur. Na iznos prihoda utjecala je promjena konačne pro rata za utvrđivanje pretporeza za 2025. godinu. Nadalje, na ovoj su poziciji tijekom 2025. evidentirani prihodi od izrade sitnog inventara u vlastitoj radioni, prihodi temeljem ugovora sa tvrtkom Benefit Systems, prihodi temeljem zadržane jamčevine dobavljača, prihoda po utvrđenim viškovima na inventuri, prihodi od ostvarenog rabata na lijekove  te ostali i izvanredni prihodi.  U prošloj godini na ovoj su poziciji knjiženi prihodi po ovoj osnovi naplate duga od bivših djelatnika u ukupnom iznosu 8.253,92 eur što je u ovoj godini prebačeno na skupinu prihoda 6526 – Ostali nespomenuti prihodi i iznose 20.380,66 eur (veza bilješka uz račun iz računskog plana 6526).</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32.151.912,32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30.606.350,74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w:t>
            </w:r>
          </w:p>
        </w:tc>
      </w:tr>
    </w:tbl>
    <w:p>
      <w:pPr>
        <w:spacing w:before="0" w:after="0"/>
      </w:pPr>
    </w:p>
    <w:p>
      <w:r>
        <w:t xml:space="preserve">Rashodi poslovanja u razdoblju od 1. siječnja do 31. prosinca 2025. ostvareni su u iznosu od 30.606.350,74 eur. Najznačajnije relativno povećanje rashoda evidentirano je na rashodima za stručno usavršavanje zaposlenika, službena putovanja, tekuće donacije i donacie u novcu. Najznačajnije smanjenje rashoda poslovanja bilježi se na kapitalnim prijenosima između proračunskih korisnika istog proračuna, pomoćima danim unutar općeg proračuna.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550.069,96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600.559,01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bl>
    <w:p>
      <w:pPr>
        <w:spacing w:before="0" w:after="0"/>
      </w:pPr>
    </w:p>
    <w:p>
      <w:r>
        <w:t xml:space="preserve">Rashodi poslovanja na skupini 321 bilježe ukupno povećanje za 9,2% u odnosu na isto izvještajno razdoblje prošle godine.</w:t>
      </w:r>
    </w:p>
    <w:p>
      <w:r>
        <w:t xml:space="preserve">Rashodi službenih putovanja bilježe iznos od 32.439,53 eur i bilježe povećanje za 332%. Odnosi se na troškove dnevnica, naknade za smještaj te naknade za prijevoz djelatnika na službenim putovanjima u zemlji i inozemstvu.</w:t>
      </w:r>
    </w:p>
    <w:p>
      <w:r>
        <w:t xml:space="preserve">Rashodi za stručno usavršavanje zaposlenika u 2025. godini iznose 72.929,78 eur i bilježe povećanje za 38,3%. Odnose se na troškove seminara, savjetovanja i simpozija,  troškove tečajeva i stručnih ispita te troškova školarina i specijalizacija.</w:t>
      </w:r>
    </w:p>
    <w:p>
      <w:r>
        <w:t xml:space="preserve">Ostale naknade troškova zaposlenima iznose 2.974,80 eur, a odnose se na naknadu djelatnicima za korištenje privatnog automobila u službene svrhe te ostale naknade troškova zaposlenima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3.372.604,44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2.086.186,84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61,9</w:t>
            </w:r>
          </w:p>
        </w:tc>
      </w:tr>
    </w:tbl>
    <w:p>
      <w:pPr>
        <w:spacing w:before="0" w:after="0"/>
      </w:pPr>
    </w:p>
    <w:p>
      <w:r>
        <w:t xml:space="preserve">Ostvarenje rashoda na skupini 322 bilježi smanjenje za 38,1%, a čine ih rashodi za uredski materijal i ostali materijalni rashodi (3221) koji bilježe smanjenje za 13,8%, rashodi za materijal i sirovine (3222) koji bilježe smanjenje za 60,3% . Važno je naglasiti kako su se u 2024, godini na ovoj skupini rashoda evidentirali rashodi za lijekove, medicinski potrošni i laboratorijski materijal, što se u 2025. godini mijenja primjenom novog Pravilnika o proračunskom računovodstvu i Računskom planu po kojem se rashodi za lijekove, medicinski potrošni i laboratorijski materijal svrstavaju u novu skupinu rashoda 325. (veza bilješke vezane uz skupinu račune iz računskog plana 325) Gledajući promjenu bez navedenih rashoda i uključujući samo preostale rashode na skupini 3222 – Piće i živežne namirnice, bilježi se smanjenje rashoda za 8,8% u odnosu na 2024. godinu u kojoj oni ukupno iznose 910.483,74 eur. Troškovi energije (3223) bilježe smanjenje za 4,2% u odnosu na prošlu godinu i oni iznose ukupno 776.647,90 eur.  Najveće smanjenje evidentirano je u rashodima za plin kotlovnice uslijed uspostave novog sustava grijanja, a koji su smanjeni za  200.391,65 eur (77,7%) u odnosu na isto izvještajno razdoblje prošle godine.  </w:t>
      </w:r>
    </w:p>
    <w:p>
      <w:r>
        <w:t xml:space="preserve">Rashodi za materijal i dijelove za tekuće i investicijsko održavanje (3224) porasli su za 13,3%. Povećanju su u najvećoj mjeri pridonijeli troškovi materijala i dijelova tijekom preseljenja i osposobljavanja za rad zdravstvenih odjela na novim lokacijama unutar Bolnice te troškovi pripreme za obnovu i tijekom radova na obnovi stare zgrade Bolnice. Smanjenje u 2025. godini ostvareno je na poziciji rashoda materijala za održavanje zelenila za 76,3% te materijala i dijelova za održavanje u krojačkoj radioni za 68,7%.</w:t>
      </w:r>
    </w:p>
    <w:p>
      <w:r>
        <w:t xml:space="preserve">Rashodi iz skupine računa 3225 – Sitni inventar i auto gume ukupno bilježe povećanje za 84,6% u odnosu na isto izvještajno razdoblje prošle godine. Rashodi samog sitnog inventara povećani su za 80,9% dok su rashodi sitnog inventara iz donacije povećani za 262%,  Nabavljeni sitni inventar odnosi se na medicinski sitni inventar, ručnike, madrace, posteljno rublje i zavjese za ambulantni dio više zdravstvenih odsjeka, uredski sitni inventar, sitni inventar za potrebe tehničke službe, radne terapije i hidroterapjie, prehrane, te ostali sitni inventar.</w:t>
      </w:r>
    </w:p>
    <w:p>
      <w:r>
        <w:t xml:space="preserve">Na skupini rashoda 3227 – Službena, radna i zaštitna odjeća i obuća ostvareno je ukupno 6.020,80 eur.  Riječ je o rashodu za nabavu službene radne i zaštitne odjeće i obuće, a odnosi se na radnu odjeću djelatnika odsjeka tehničkih poslova, bolničke prehrane i ugostiteljstva, djelatnika u skladištu, djelatnika odsjeka pravnih, općih poslova i zaštitu na radu,  zdravstvenih djelatnika te odjeću za pacijente (pidžame).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101.835,69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116.437,11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114,3</w:t>
            </w:r>
          </w:p>
        </w:tc>
      </w:tr>
    </w:tbl>
    <w:p>
      <w:pPr>
        <w:spacing w:before="0" w:after="0"/>
      </w:pPr>
    </w:p>
    <w:p>
      <w:r>
        <w:t xml:space="preserve">Navedena skupina rashoda bilježi povećanje za 14,3% i iznosi ukupno 116.437,11 eur. Stavke koje bilježe najveće povećanje iz ove skupine rashoda jesu rashodi ugovornih usluga autobusnog prijevoza zaposlenika (32,1%), rashodi za usluge telefona i telefaksa (82,3%),  te rashodi za usluge mobilnih telefona (5,3%) u odnosu na isto izvještajno razdoblje prošle godine.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18.843,53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230,3</w:t>
            </w:r>
          </w:p>
        </w:tc>
      </w:tr>
    </w:tbl>
    <w:p>
      <w:pPr>
        <w:spacing w:before="0" w:after="0"/>
      </w:pPr>
    </w:p>
    <w:p>
      <w:r>
        <w:t xml:space="preserve">Rashodi za usluge promidžbe i informiranja veći su za 130,3% u odnosu na prošlu godinu i iznose ukupno 18.843,53 eur. Rashodi se odnose na objave oglasa u tiskovinama, Večernjem listu i Narodnim novinama u vrijednosti 10.988,25 eur,  promidžbeni materijal za obilježavanje blagdana i posebnih zdravstvenih dana u iznosu 6.155,28 eur te troškovi obilježavanja zgrade oznakama za pacijente na novoj lokaciji polikliničkog dijela u okviru Bolnice u iznosu 1.700,00 eur.</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137.424,78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159.621,34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w:t>
            </w:r>
          </w:p>
        </w:tc>
      </w:tr>
    </w:tbl>
    <w:p>
      <w:pPr>
        <w:spacing w:before="0" w:after="0"/>
      </w:pPr>
    </w:p>
    <w:p>
      <w:r>
        <w:t xml:space="preserve">Realizacija rashoda iz skupine zdravstvenih i veterinarskih usluga veća je za 16,2% u odnosu na 2024. godinu., te iznosi ukupno 159.621,34 eur. Povećanje u znatnijoj mjeri bilježe: - zdravstvene usluge za pacijente (27,2%) – od kolovoza 2024. bilježe se troškovi usluge teleradiološkog očitanja CT-a za pacijente temeljem ugovora sa Teleradiološkim centrom Salha. Troškovi vezani za usluge drugih zdravstvenih ustanova uz provođenje programa za prevenciju raka pluća (KBC Zagreb, Jordanovac) bilježe povećanje za 40,5%.</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51.931,10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76.161,83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146,7</w:t>
            </w:r>
          </w:p>
        </w:tc>
      </w:tr>
    </w:tbl>
    <w:p>
      <w:pPr>
        <w:spacing w:before="0" w:after="0"/>
      </w:pPr>
    </w:p>
    <w:p>
      <w:r>
        <w:t xml:space="preserve">Realizacija rashoda za intelektualne i osobne usluge veća je za 46,7% u odnosu na isto izvještajno razdoblje prošle godine te  iznose ukupno 76.161,83 eur.  Veća povećanja u odnosu na prošlu godinu bilježe rashodi po osnovi autorskih honorara (87,5%),  usluge odvjetnika i pravnog savjetovanja (58,7%), naknade za rad studenata preko ovlaštenih posrednika (87,0%) te ostale intelektualne usluge (205%)  Rashodi po osnovi usluge procjene u 2025. iznose 3.402,50 eur. Navedene vrste rashoda nema evidentirane u 2024. godini.</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135.426,30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176.155,17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130,1</w:t>
            </w:r>
          </w:p>
        </w:tc>
      </w:tr>
    </w:tbl>
    <w:p>
      <w:pPr>
        <w:spacing w:before="0" w:after="0"/>
      </w:pPr>
    </w:p>
    <w:p>
      <w:r>
        <w:t xml:space="preserve">Rashodi za računalne usluge bilježe povećanje za 30,1% u odnosu na prošlu godinu uslijed promjene cijena usluga dobavljača. U 2025. godini navedena vrsta rashoda iznosi ukupno 167.517,66 eur, a odnosi se na usluge ažuriranja računalnih baza. Tijekom 2025. dodatno je evidentiran rashod godišnje pretplate na bazu podataka za potrebe liječnika u iznosu 577,51 eur te rashod ostalih računalnih usluga u iznosu 8.060,00 eur.</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18.645,23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w:t>
            </w:r>
          </w:p>
        </w:tc>
      </w:tr>
    </w:tbl>
    <w:p>
      <w:pPr>
        <w:spacing w:before="0" w:after="0"/>
      </w:pPr>
    </w:p>
    <w:p>
      <w:r>
        <w:t xml:space="preserve">Rashodi za ostale usluge bilježe smanjenje za 21,3%.  U prošloj je godini na navedenoj skupini rashoda, na kontu ostalih nespomenutih usluga knjižen rashod za licencu što je ispravljeno u budućim razdobljima u vrijednosti 1.946,69 eur.  U 2025. ostvarena je realizacija rashoda za grafičke i tiskarske usluge u iznosu 340,55 eur, te fotografske usluge u iznosu 650,00 eur kojih nije bilo u 2024. godini. Troškovi prijevoza kod nabave u 2025. godini povećani su za 51,4% i iznose 3.459,99 eur. Ostale nespomenute usluge u izvještajnom razdoblju 2025. godine smanjene su za 50,2% te iznose 7.739,80 eur..</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78,2</w:t>
            </w:r>
          </w:p>
        </w:tc>
      </w:tr>
    </w:tbl>
    <w:p>
      <w:pPr>
        <w:spacing w:before="0" w:after="0"/>
      </w:pPr>
    </w:p>
    <w:p>
      <w:r>
        <w:t xml:space="preserve">Ostvareno je ukupno 4.540,28 eur rashoda po osnovi naknada troškova osobama izvan radnog odnosa i time bilježe smanjenje za 21,8% u odnosu na prošlu godinu. Riječ je o isplatama nagrada učenicima na praksi.</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lijekova i potrošnog medicinskog materijala kod zdravstvenih ustanova (šifre 3251 do 3254)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1.312.304,26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Stupanjem na snagu i primjenom novog Pravilnika o proračunskom računvodstvu i Računskom planu od 2025. godine na skupini 325 bilježe se rashodi lijekova i potrošnog medicinskog materijala kod zdravstvenih ustanova. U 2024. godini navedeni su rashodi bili evidentirani preko skupine 322. U izvještajnom razdoblju za 2025. ostvareno je ukupno 1.312.304,26 eur rashoda po ovoj osnovi. Uspoređujući rashode po ovoj osnovi u usporednom izvještajnom razdoblju kada su iznosili 1.215.956,53 eur što je povećanje za 7,9% u 2025. godini.</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16.233,18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Rashodi za pristojbe i naknade bilježe povećanje za 13.390,5% u odnosu na isto izvještajno razdoblje u prošloj godini te iznose 16.233,18 eur.  Razlog promjeni u tolikom postotku jest evidentiranje RTV pristojbe na skupini konta 3295 u 2025. godini. U 2024. godini navedeni rashod bio je evidentiran u okviru skupine 3299 (veza bilješka uz skupinu rashoda 3299). U 2025. rashod za RTV pristojbu iznosi 15.250,32 eur dok je u 2024. navedeni rashod iznosio 14.408,22 eur (povećanje za 5,5% u 2025. godini) Uzimajući u obzir navedeno, realna promjena iznosi povećanje od 716,8% uslijed povećanih rashoda za sudske, odvjetničke i javnobilježničke pristojbe.  U 2025. godini na ovoj skupini ujedno imamo evidentirane rashode za javnobilježničke pristojbe u postupcima prisilne naplate te troškove žalbenog postupka javne nabave, a kojih rashoda nije bilo u 2024. te su isti također razlogom navedenog povećanja.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Troškovi sudskih postupaka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2025. godini nema realizacije na ovoj skupini rashoda. U 2024. evidentirano je ukupno 5.476,15 eur za troškove prekršajnih postupaka.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16.066,53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19.343,35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w:t>
            </w:r>
          </w:p>
        </w:tc>
      </w:tr>
    </w:tbl>
    <w:p>
      <w:pPr>
        <w:spacing w:before="0" w:after="0"/>
      </w:pPr>
    </w:p>
    <w:p>
      <w:r>
        <w:t xml:space="preserve">Ostvarenje ove skupine rashoda veće je za 20,4%  u 2025. godini uslijed većih rashoda usluge banaka i usluge platnog prometa.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Negativne tečajne razlike i razlike zbog primjene valutne klauzule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382,8</w:t>
            </w:r>
          </w:p>
        </w:tc>
      </w:tr>
    </w:tbl>
    <w:p>
      <w:pPr>
        <w:spacing w:before="0" w:after="0"/>
      </w:pPr>
    </w:p>
    <w:p>
      <w:r>
        <w:t xml:space="preserve">U 2024. godini evidentirano je 18,00 eur negativne tečajne razlike prilikom plaćanja inozemnom dobavljaču u valuti USD.   U 2025. godini evidentiran je rashoda negativne tečajne razlike po inozemnoj transakciji povrata kotizacije za otkazanu edukaciju djelatnika. U 2025. godini navedena skupina rashoda iznosi 68,90 eur, što čini povećanje od 282,8% u odnosu na usporedno izvještajno razdoblje.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50.730,15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38.384,36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w:t>
            </w:r>
          </w:p>
        </w:tc>
      </w:tr>
    </w:tbl>
    <w:p>
      <w:pPr>
        <w:spacing w:before="0" w:after="0"/>
      </w:pPr>
    </w:p>
    <w:p>
      <w:r>
        <w:t xml:space="preserve">Rashodi računa iz računskog plana 3433 bilježe smanjenje za 24,3%. Iznose ukupno 38.384,36 eur i odnose se najvećim dijelom na zatezne kamate dobavljača zbog nepravovremeno podmirenih obveza – 37.825,72 eur dok ostatak čine ostale zatezne kamate.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financijski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21.681,64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27.349,33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126,1</w:t>
            </w:r>
          </w:p>
        </w:tc>
      </w:tr>
    </w:tbl>
    <w:p>
      <w:pPr>
        <w:spacing w:before="0" w:after="0"/>
      </w:pPr>
    </w:p>
    <w:p>
      <w:r>
        <w:t xml:space="preserve">Rashodi iz skupine Ostali nespomenuti financijski rashodi bilježe povećanje za 26,1% i iznose ukupno 27.349,33 eur. Odnose se na proviziju kartičnih kuća uslijed prihvata kartica na naplatnom mjestu recepcije (povećanje za 19,0% u odnosu na isto izvještajno razdoblje u 2024. godini), te na posredničku naknadu Student servisa prilikom zapošljavanja studenata (povećanje za 174,5% u odnosu na isto izvještajno razdoblje u 2024. godini).</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3.184.338,80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211.251,06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w:t>
            </w:r>
          </w:p>
        </w:tc>
      </w:tr>
    </w:tbl>
    <w:p>
      <w:pPr>
        <w:spacing w:before="0" w:after="0"/>
      </w:pPr>
    </w:p>
    <w:p>
      <w:r>
        <w:t xml:space="preserve">U 2024. godini realizirano je 3.184.338,80 eur, a navedeno se odnosi na iznos povrata sredstava Krapinsko-zagorskoj županiji ranije isplaćenih u svrhu premošćivanja plaćanja u okviru projekta Fonda Solidarnosti EU. U 2025. godini po istoj je osnovi realizirano 211.251,06 eur što čini smanjenje od 93,4%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361,5</w:t>
            </w:r>
          </w:p>
        </w:tc>
      </w:tr>
    </w:tbl>
    <w:p>
      <w:pPr>
        <w:spacing w:before="0" w:after="0"/>
      </w:pPr>
    </w:p>
    <w:p>
      <w:r>
        <w:t xml:space="preserve">Realizirano je ukupno 6.506,67 eur što čini povećanje od 261,5%. Navedene donacije odnose se na namjenske donacije financijskih sredstava DVD-u Bolnice, U 2024. godini realizirana je namjenska donacija financijskih sredstava u iznosu 1.100,00 eur DVD-u Bolnice.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190.943,58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204.893,56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w:t>
            </w:r>
          </w:p>
        </w:tc>
      </w:tr>
    </w:tbl>
    <w:p>
      <w:pPr>
        <w:spacing w:before="0" w:after="0"/>
      </w:pPr>
    </w:p>
    <w:p>
      <w:r>
        <w:t xml:space="preserve">Nenaplaćeni obračunati prihodi skupine 9661 iznose ukupno 204.893,56 eur i bilježe povećanje za 7,3% u odnosu na prošlu godinu. Nenaplaćeni prihodi od privatnih korisnika zdravstvenih usluga iznose 114.843,46 eur. Nenaplaćeni prihodi za oporezive usluge iznose ukupno 90.050,10 eur.</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233.771,11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204.764,27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w:t>
            </w:r>
          </w:p>
        </w:tc>
      </w:tr>
    </w:tbl>
    <w:p>
      <w:pPr>
        <w:spacing w:before="0" w:after="0"/>
      </w:pPr>
    </w:p>
    <w:p>
      <w:r>
        <w:t xml:space="preserve">Nenaplaćeni obračunati prihodi od HZZO-a na temelju ugovornih obveza bilježe smanjenje za 12,4% u odnosu na prošlu godinu i iznose 204.764,27 eur. Nenaplaćeni, a dospjeli prihodi ove skupine odnose se na prihode od pružanja zdravstvene zaštite osobama iz Ukrajine u ukupnom iznosu 18.146,43 eur.</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w:t>
            </w:r>
          </w:p>
        </w:tc>
      </w:tr>
    </w:tbl>
    <w:p>
      <w:pPr>
        <w:spacing w:before="0" w:after="0"/>
      </w:pPr>
    </w:p>
    <w:p>
      <w:r>
        <w:t xml:space="preserve">U izvještajnom razdoblju ostvareni prihodi od prodaje nefinancijske imovine iznose 603,46 eur.</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proizvedene dugotrajne imovine (šifre 721+722+723+724+725+726)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w:t>
            </w:r>
          </w:p>
        </w:tc>
      </w:tr>
    </w:tbl>
    <w:p>
      <w:pPr>
        <w:spacing w:before="0" w:after="0"/>
      </w:pPr>
    </w:p>
    <w:p>
      <w:r>
        <w:t xml:space="preserve">Prihodi od prodaje proizvedene dugotrajne imovine bilježe smanjenje za 63,8% u odnosu na prošlu godinu i iznose 603,46 eur, a odnose se na prihode od prodaje (otkupa) stanova iz 1992. godine (721). U prošloj je godini evidentiran i prihod od prodaje medicinske opreme u iznosu od 25,60 eur, a kojeg prihoda nema evidentiranog u izvještajnom razdoblju za 2025. godinu (722)</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3.143.412,34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9.887.556,30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314,5</w:t>
            </w:r>
          </w:p>
        </w:tc>
      </w:tr>
    </w:tbl>
    <w:p>
      <w:pPr>
        <w:spacing w:before="0" w:after="0"/>
      </w:pPr>
    </w:p>
    <w:p>
      <w:r>
        <w:t xml:space="preserve">Rashodi za nabavu nefinancijske imovine ostvareni u iznosu od 9.887.556,30 eur. Navedeni rashod odnosi se najvećim dijelom na dodatna ulaganja na građevinskim objektima u okviru obnove / sanacije stare zgrade Bolnice.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Licence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14.955,27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2024. godini rashodi za licence evidentirani su kroz skupinu rashoda 4262 u iznosu 4.789,45 eur. Na skupini rashoda 4123 u 2024. godini nema evidentiranih rashoda dok je u 2025. evidentiran je rashod u ukupnom iznosu 14.955,27 eur . U 2025. godini rashodi za licence se više ne provode kroz skupinu konta 4262. Ukoliko u usporedbu uključimo rashode oba konta iz 2024. realna promjena jest povećanje za 212,3% uslijed rashoda licenci za laboratorij i FG ruteru u ukupno iznosu 9.775,75 eur u 2025. godini. (veza bilješka vezana uz račun iz računskog plana 4262).</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48.794,00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2628,6</w:t>
            </w:r>
          </w:p>
        </w:tc>
      </w:tr>
    </w:tbl>
    <w:p>
      <w:pPr>
        <w:spacing w:before="0" w:after="0"/>
      </w:pPr>
    </w:p>
    <w:p>
      <w:r>
        <w:t xml:space="preserve">U 2025. godini ostvareno je 48.794,00 eur, a navedeni rashod odnosi se na ukupni trošak izrade i revizije projekta dogradnje novog bolničkog objekta i garaže.  U 2024. na ovoj je poziciji rashoda evidentirano 1.856,25 eur za uslugu geodetske izmjere i izrade elaborata za projekt dogradnje novog bolničkog objekta i garažu što čini promjenu povećanja za 2.528,6% u odnosu na usporedno izvještajno razdoblje.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35.369,19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126.635,57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358,0</w:t>
            </w:r>
          </w:p>
        </w:tc>
      </w:tr>
    </w:tbl>
    <w:p>
      <w:pPr>
        <w:spacing w:before="0" w:after="0"/>
      </w:pPr>
    </w:p>
    <w:p>
      <w:r>
        <w:t xml:space="preserve">Rashodi računa iz računskog plana 4221 bilježe povećanje za 258% i iznose ukupno 126.635,57 eur. Od toga se 78.484,17 eur odnosi na nabavu računala i računalne opreme, 47.843,88 eur na nabavu namještaja, a 307,52 eur na uredsku opremu.</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620,7</w:t>
            </w:r>
          </w:p>
        </w:tc>
      </w:tr>
    </w:tbl>
    <w:p>
      <w:pPr>
        <w:spacing w:before="0" w:after="0"/>
      </w:pPr>
    </w:p>
    <w:p>
      <w:r>
        <w:t xml:space="preserve">Realizacija rashoda računa iz računskog plana 4222 veća je za 520,7% i iznosi ukupno 8.291,83 eur. Odnosi se na nabavu televizora u vrijednosti 2.707,17 eur, projektora 624,49 eur te 5 kom kamera s opremom u vrijednosti 4.660,17 eur.  Primljena je donacija televizora, stalka i antene u vrijednosti 300,00 eur.</w:t>
      </w:r>
    </w:p>
    <w:p>
      <w:r>
        <w:t xml:space="preserve">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w:t>
            </w:r>
          </w:p>
        </w:tc>
      </w:tr>
    </w:tbl>
    <w:p>
      <w:pPr>
        <w:spacing w:before="0" w:after="0"/>
      </w:pPr>
    </w:p>
    <w:p>
      <w:r>
        <w:t xml:space="preserve">U 2025. godini ostvareno je 1.798,65 eur rashoda. Riječ je o nabavi 4 komada pokretnih klima u vrijednosti 1.468,66 eur. Evidentiran je rashod u iznosu 329,99 eur temeljem donacije klima uređaja na Odjel MSK.  U prošloj godini na navedenoj je poziciji evidentiran rashod za nabavu klima uređaja za Odjel JIL u vrijednosti 2.072,81 eur te oprema za održavanje u vrijednosti 1.001,76 eur.</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Medicinska i laboratorijska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455.143,38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394.150,18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w:t>
            </w:r>
          </w:p>
        </w:tc>
      </w:tr>
    </w:tbl>
    <w:p>
      <w:pPr>
        <w:spacing w:before="0" w:after="0"/>
      </w:pPr>
    </w:p>
    <w:p>
      <w:r>
        <w:t xml:space="preserve">Realizacija navedene skupine rashoda smanjena je za 13,4%  te iznosi 394.150,18 eura. Rashodi se odnose na nabavu medicinske i laboratorijske opreme u ukupnoj vrijednosti 391.129,36 eur te donaciju medicinske opreme – 3 komada invalidskih kolica, stacionarni bicikl i hodalicu  ukupne vrijednosti 3.020,82 eur.</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179.136,10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37.060,07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w:t>
            </w:r>
          </w:p>
        </w:tc>
      </w:tr>
    </w:tbl>
    <w:p>
      <w:pPr>
        <w:spacing w:before="0" w:after="0"/>
      </w:pPr>
    </w:p>
    <w:p>
      <w:r>
        <w:t xml:space="preserve">Realizacija rashoda računa iz računskog plana 4227 manja je za 79,3%, a ukupno iznosi 37.060,07 eur. Nabavljena je oprema za Odjel tehničko-uslužnih poslova: Odsjeke tehničkih poslova, ugostiteljstva i prehrane, plinskog štednjaka za kuhinju, kolica za zdravstvene svrhe,  digitalne vage za zdravstvene odjele te hladnjak za potrebe medicinsko-biokemijskog laboratorija u ukupnoj vrijednosti 36.301,07 eur. Evidentiran je i rashod po osnovi donacije ostale opreme - komunikacijske ploče i hladnjaka s ledenicom u ukupnoj vrijednosti 759,00 eur.</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realizirano je 4.789,45 eur po osnovi rashoda ulaganja u računalne programe - licence. U 2025. godini nema evidentiranih rashoda licenci na ovoj skupini rashoda, odnosno rashodi za licence knjiže se unutar skupine 4123 (veza bilješka uz račun iz računskog plana 4123)</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2.462.577,53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9.255.870,73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375,9</w:t>
            </w:r>
          </w:p>
        </w:tc>
      </w:tr>
    </w:tbl>
    <w:p>
      <w:pPr>
        <w:spacing w:before="0" w:after="0"/>
      </w:pPr>
    </w:p>
    <w:p>
      <w:r>
        <w:t xml:space="preserve">Realizacija na ovoj skupini rashoda veća je za 275,9% te iznosi ukupno 9.255.870,73 eur.</w:t>
      </w:r>
    </w:p>
    <w:p>
      <w:r>
        <w:t xml:space="preserve">Riječ je o: Dodatnim ulaganjima na građevinskim objektima (451) – u sklopu obnove stare zgrade od potresa koje se financira iz Fonda solidarnosti Europske unije / Nacionalnog plana oporavaka te iznosu rashoda III., IV., V., VI., VII., VIII., IX., X., XI., XII. i XIII. privremene situacije koje terete godišnje izvještajno razdoblje 2025. godine u ukupnom iznosu 8.734.256,58 eur.  Ostala dodatna ulaganja na građevinskim objektima odnose se na izradu novog cjevovoda za pumpe, te izradu, izmjenu i dopunu strojarskog projekta za hlađenje smještajnih jedinica objekta NNBO, te troškovi radova na montaži pasivne mreže opreme sa svim materijalom za ugradnju, optike u staroj zgradi bolnice te preuređenje VRF sustava u ukupnom iznosu 508.371,85 eur.</w:t>
      </w:r>
    </w:p>
    <w:p>
      <w:r>
        <w:t xml:space="preserve">Dodatnim ulaganjima na postrojenju i opremi – medicinskoj opremi (452) - postavljanju injektora za aplikaciju kontrasta na MSCT uređaju u vrijednosti 13.242,30 eur. Navedeni rashod financira se iz decentraliziranih sredstava za nabavu nefinancijske imovine.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prodaje nefinancijske imovine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13.601,83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87,3</w:t>
            </w:r>
          </w:p>
        </w:tc>
      </w:tr>
    </w:tbl>
    <w:p>
      <w:pPr>
        <w:spacing w:before="0" w:after="0"/>
      </w:pPr>
    </w:p>
    <w:p>
      <w:r>
        <w:t xml:space="preserve">Usklađivanjem potraživanja od Zagrebačke banke po osnovi kredita za otkup stanova, tek je u kolovozu 2024. evidentirano usklađeno stanje preostalog potraživanja po navedenoj osnovi. Od tada se za mjesečne otplate vrši korekcija ukupnog potraživanja. Na datum 31.12.2025. neplaćeni obračunati prihodi po osnovi prodaje stanova iz 1992. iznose 11.878,28 eur.</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navedenom razdoblju ostvareno je primitaka od financijske imovine i zađuživanja u iznosu 1.500,00 eur prilikom povrata dane jamčevine temeljem ugovora sklopljenog s Gradom Zagrebom.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evidentiran je izdatak u iznosu 1.500,00 eur prilikom dane jamčevine temeljem Ugovora sklopljenog s Gradom Zagrebom.</w:t>
      </w:r>
    </w:p>
    <w:p>
      <w:r>
        <w:t xml:space="preserve"> </w:t>
      </w:r>
    </w:p>
    <w:p>
      <w:r>
        <w:t xml:space="preserve"> </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 preneseni (šifre '9221x,9222x MP' - '9221x,9222x VP' + 92223 - 92213)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12.395.033,13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12.915.802,34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w:t>
            </w:r>
          </w:p>
        </w:tc>
      </w:tr>
    </w:tbl>
    <w:p>
      <w:pPr>
        <w:spacing w:before="0" w:after="0"/>
      </w:pPr>
    </w:p>
    <w:p>
      <w:r>
        <w:t xml:space="preserve">Obrazloženje pozicije 9222-9221:</w:t>
      </w:r>
    </w:p>
    <w:p>
      <w:r>
        <w:t xml:space="preserve">Iznos prenesenog manjka prihoda poslovanja iz ranijih godina na kontu 9222 100 na datum 31.12.2025. iznosi 11.766.521,44 eur.</w:t>
      </w:r>
    </w:p>
    <w:p>
      <w:r>
        <w:t xml:space="preserve">U 2025. godini evidentiraju se korekcije rezultata:</w:t>
      </w:r>
    </w:p>
    <w:p>
      <w:r>
        <w:t xml:space="preserve">povećanje manjka prihoda poslovanja za 1.261.890,83 eur za primljeni predujam EU u 2024. godini - sukladno Okružnici Ministarstva financija za sastavljanje godišnjih izvještaja </w:t>
      </w:r>
    </w:p>
    <w:p>
      <w:r>
        <w:t xml:space="preserve">povećanje manjka prihoda poslovanja za 86.972,26 eur za primljena sredstva EU od HZZ-a u programu mjera za pripravnike</w:t>
      </w:r>
    </w:p>
    <w:p>
      <w:r>
        <w:t xml:space="preserve">Nakon provedenih korekcija iznos prenesenog manjka prihoda poslovanja iznosi 13.115.384,53 eur.</w:t>
      </w:r>
    </w:p>
    <w:p>
      <w:r>
        <w:t xml:space="preserve">Ispravci iz prethodnih godina provedeni su preko konta 9221400 - višak prihoda poslovanja u ukupnom iznosu 231.000,43 eur te preko konta manjak prihoda poslovanja u iznosu 1.948,73 eur.</w:t>
      </w:r>
    </w:p>
    <w:p>
      <w:r>
        <w:t xml:space="preserve">Nakon zatvaranja korekcija rezultata novi manjak prihoda preneseni iznosi 12.886.332,83 eur te je u PR-RAS izvještaj unesen pod AOP 92221.  </w:t>
      </w:r>
    </w:p>
    <w:p>
      <w:r>
        <w:t xml:space="preserve"> </w:t>
      </w:r>
    </w:p>
    <w:p>
      <w:r>
        <w:t xml:space="preserve">Preneseni višak prihoda od nefinancijske imovine na datum 01.01.2025. iznosio je 2.029.726,57 eur te je, sukladno uputi iz Okružnice Ministarstva financija, izvršena korekcija rezultata za vrijednost primljenog predujma EU u 2024. godini u iznosu 1.960.151,68 eur u rezultatu viška prihoda od nefinancijske imovine.  Nakon provedene korekcije, novi preneseni višak prihoda od nefinancijske imovine iznosi 69.574,89 eur te je isti unesen u PR-RAS izvještaj pod AOP 92212.</w:t>
      </w:r>
    </w:p>
    <w:p>
      <w:r>
        <w:t xml:space="preserve"> </w:t>
      </w:r>
    </w:p>
    <w:p>
      <w:r>
        <w:t xml:space="preserve">Preneseni manjak prihoda od financijske imovine iznosi 99.044,40 eur. </w:t>
      </w:r>
    </w:p>
    <w:p>
      <w:r>
        <w:t xml:space="preserve">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9.835.839,27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16.368.014,13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166,4</w:t>
            </w:r>
          </w:p>
        </w:tc>
      </w:tr>
    </w:tbl>
    <w:p>
      <w:pPr>
        <w:spacing w:before="0" w:after="0"/>
      </w:pPr>
    </w:p>
    <w:p>
      <w:r>
        <w:t xml:space="preserve">U razdoblju od 1. siječnja do 31. prosinca 2025. ostvaren je višak prihoda poslovanja u iznosu od 6.434.741,05 eur, manjak prihoda od nefinancijske imovine u iznosu od 9.886.952,84 eur, slijedom čega je na kraju izvještajnog razdoblja ostvaren ukupan manjak prihoda i primitaka u iznosu od 3.452.211,79 eur. Uplate HZZO-a tijekom 2025. godine u visini neizvršenih usluga koje su sukladno uputi Ministarstva financija i Ministarstva zdravstva od 24. rujna 2020. godine knjižene na obvezu za primljene predujmove iznose 3.199.644,51 eur. Da su navedena sredstva knjižena na poziciji prihoda financijski rezultat bio bi manjak prihoda u ukupnom iznosu 252.567,28 eur.</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99,3</w:t>
            </w:r>
          </w:p>
        </w:tc>
      </w:tr>
    </w:tbl>
    <w:p>
      <w:pPr>
        <w:spacing w:before="0" w:after="0"/>
      </w:pPr>
    </w:p>
    <w:p>
      <w:r>
        <w:t xml:space="preserve">Prosječan broj zaposlenih kod korisnika na osnovi stanja na početku i na kraju izvještajnog razdoblja sukladno uputi Ministarstva utvrđuje se kao prosjek stanja zaposlenih 1. siječnja i krajem svakog tromjesečja tekuće godine, uključujući i zaposlene u inozemstvu.  Stanje ukupnog broja zaposlenih po datumima: 01.01.2025. – 806, 31.03.2025. – 802, 30.06.2025. – 795, 30.09.2025. – 815, 31.12.2025. - 820. Temeljem navedenog, prosječan broj zaposlenih iznosi 808 što je za 0,7% manje od prošle godine.</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kod korisnika na osnovi sati rada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w:t>
            </w:r>
          </w:p>
        </w:tc>
      </w:tr>
    </w:tbl>
    <w:p>
      <w:pPr>
        <w:spacing w:before="0" w:after="0"/>
      </w:pPr>
    </w:p>
    <w:p>
      <w:r>
        <w:t xml:space="preserve">Prosječan broj zaposlenih na osnovi sati rada iznosi 743 što je za 3,3% manje u odnosu na isto izvještajno razdoblje prošle godine.</w:t>
      </w:r>
    </w:p>
    <w:p>
      <w:r>
        <w:t xml:space="preserv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33.197.129,38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39.611.208,19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bl>
    <w:p>
      <w:pPr>
        <w:spacing w:before="0" w:after="0"/>
      </w:pPr>
    </w:p>
    <w:p>
      <w:r>
        <w:t xml:space="preserve">U Izvještaju Bilanca za 2025. godinu ukupna imovina  iznosi 39.611.208,19 eur od čega nefinancijska imovina iznosi 36.539.597,37 eur, a financijska imovina 3.071.610,82 eur. Do povećanja nefinancijske imovine za ukupno 19,3%, došlo je zbog ulaganja u dugotrajnu nefinancijsku imovinu - građevinske objekte u pripremi čija stavka bilježi povećanje za 1848,6% u odnosu na prošlu godinu te iznosi 9.264.699,56 eur. </w:t>
      </w:r>
    </w:p>
    <w:p>
      <w:r>
        <w:t xml:space="preserve">Financijska imovina bilježi smanjenje za 42,8% u odnosu na usporedno izvještajno razdoblje. Značajnije smanjenje evidentirano je na stavci Novac na računu kod tuzemnih poslovnih banka te ono iznosi 84,4% , odnosno u apsolutnom iznosu smanjenje za 3.758.211,25 eur.</w:t>
      </w:r>
    </w:p>
    <w:p>
      <w:r>
        <w:t xml:space="preserve">Ostala potraživanja bilježe povećanje za 60,6% te se najvećim dijelom odnose na potraživanja od HZZO-a za bolovanje (98.279,54 eur), a zatim slijede potraživanja od kartičarskih kuća 19.127,32 eur, te dane predujmove dobavljačima 3.252,34 eur.</w:t>
      </w:r>
    </w:p>
    <w:p>
      <w:r>
        <w:t xml:space="preserve">Potraživanja za prihode poslovanja bilježe povećanje za 178,8%. Vrijednosno značajnija stavaka potraživanja odnosi se na skupinu potraživanja 1638 i podneseni ZNS 16 po kojem je isplaćeno 70% iznosa, te ostatak potraživanja u vrijednosti 1.001.530,08 eur ostaje otvoreno do potpune provjere zahtjeva. </w:t>
      </w:r>
    </w:p>
    <w:p>
      <w:r>
        <w:t xml:space="preserve">Potraživanja za upravne i administrativne pristojbe, pristojbe po posebnim propisima i naknade na skupini 165 bilježe povećanje za 108,6% te iznose 828.303,54 eur. Među navedenim prihodima vrijednosno značajnija stavka odnosi se na potraživanje od HZZO - a za  dopunsko osiguranje u ukupnom iznosu 424.170,55 eur, potraživanja od osiguravajućih kuća u ukupnom iznosu 51.880,58 eur.  </w:t>
      </w:r>
    </w:p>
    <w:p>
      <w:r>
        <w:t xml:space="preserve">U 2025. godini temeljem Odluke Upravnog vijeća izvršeno je usklađivanje pozicija bilance te je za navedeno izvršeno knjiženje ispravaka iz prethodnih godina preko konta 9221 400 u ukupnom iznosu 243.973,12 eur. </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33.197.129,38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39.611.208,19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bl>
    <w:p>
      <w:pPr>
        <w:spacing w:before="0" w:after="0"/>
      </w:pPr>
    </w:p>
    <w:p>
      <w:r>
        <w:t xml:space="preserve">U 2025. godini obveze i vlastiti izvori iznose 39.611.208,19 eur  i veći su za 19,3%  u odnosu na proteklu godinu.</w:t>
      </w:r>
    </w:p>
    <w:p>
      <w:r>
        <w:t xml:space="preserve"> </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10.470.049,31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14.058.705,22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w:t>
            </w:r>
          </w:p>
        </w:tc>
      </w:tr>
    </w:tbl>
    <w:p>
      <w:pPr>
        <w:spacing w:before="0" w:after="0"/>
      </w:pPr>
    </w:p>
    <w:p>
      <w:r>
        <w:t xml:space="preserve">Vrijednosno najznačajnija stavka obveza odnosi se na skupinu obveza 27 – Obveze za predujmove, depozite, jamčevne pologe i tuđe prihode na kojima se bilježi obveza prema HZZO-u za manje izvršeni rad. Stanje navedene obveze na 31.12.2025. iznosi 13.484.677,90 eur. Osim navedenog, na istoj skupini bilježe se i primljeni predujmovi za zdravstvene usluge koji na datum 31.12.2025. iznose ukupno 94.523,80 eur. </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18.783.099,74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22.150.823,21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w:t>
            </w:r>
          </w:p>
        </w:tc>
      </w:tr>
    </w:tbl>
    <w:p>
      <w:pPr>
        <w:spacing w:before="0" w:after="0"/>
      </w:pPr>
    </w:p>
    <w:p>
      <w:r>
        <w:t xml:space="preserve">Vlastiti izvori iznose 36.294.873,33 eur. Izvanbilančni zapisi  iznose ukupno 19.801.934,41 eur, od čega na tuđu imovinu dobivenu na korištenje otpada 1.085.527,13 eur, instrumente osiguranja plaćanja 2.402.544,86 eur. Potencijalne obveze po osnovi sudskih sporova u tijeku iznose 7.536.994,91 eur. Potraživanja po ugovorima o dodijeljenim bespovratnim sredstvima iz EU fondova iznose 8.776.867,51 eur. </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-9.835.839,27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-16.368.014,13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166,4</w:t>
            </w:r>
          </w:p>
        </w:tc>
      </w:tr>
    </w:tbl>
    <w:p>
      <w:pPr>
        <w:spacing w:before="0" w:after="0"/>
      </w:pPr>
    </w:p>
    <w:p>
      <w:r>
        <w:t xml:space="preserve">Obrazloženje pozicije 9222-9221:</w:t>
      </w:r>
    </w:p>
    <w:p>
      <w:r>
        <w:t xml:space="preserve">Iznos prenesenog manjka prihoda poslovanja iz ranijih godina na kontu 9222 100 na datum 31.12.2025. iznosi 11.766.521,44 eur.</w:t>
      </w:r>
    </w:p>
    <w:p>
      <w:r>
        <w:t xml:space="preserve">U 2025. godini evidentiraju se korekcije rezultata:</w:t>
      </w:r>
    </w:p>
    <w:p>
      <w:r>
        <w:t xml:space="preserve">povećanje manjka prihoda poslovanja za 1.261.890,83 eur za primljeni predujam EU u 2024. godini - sukladno Okružnici Ministarstva financija za sastavljanje godišnjih izvještaja </w:t>
      </w:r>
    </w:p>
    <w:p>
      <w:r>
        <w:t xml:space="preserve">povećanje manjka prihoda poslovanja za 86.972,26 eur za primljena sredstva EU od HZZ-a u programu mjera za pripravnike</w:t>
      </w:r>
    </w:p>
    <w:p>
      <w:r>
        <w:t xml:space="preserve">Nakon provedenih korekcija iznos prenesenog manjka prihoda poslovanja iznosi 13.115.384,53 eur.</w:t>
      </w:r>
    </w:p>
    <w:p>
      <w:r>
        <w:t xml:space="preserve">Ispravci iz prethodnih godina provedeni su preko konta 9221400 - višak prihoda poslovanja u ukupnom iznosu 231.000,43 eur te preko konta manjak prihoda poslovanja u iznosu 1.948,73 eur.</w:t>
      </w:r>
    </w:p>
    <w:p>
      <w:r>
        <w:t xml:space="preserve">Nakon zatvaranja korekcija rezultata novi </w:t>
      </w:r>
      <w:r>
        <w:rPr>
          <w:b/>
        </w:rPr>
        <w:t xml:space="preserve">manjak prihoda</w:t>
      </w:r>
      <w:r>
        <w:t xml:space="preserve"> preneseni iznosi </w:t>
      </w:r>
      <w:r>
        <w:rPr>
          <w:b/>
        </w:rPr>
        <w:t xml:space="preserve">12.886.332,83</w:t>
      </w:r>
      <w:r>
        <w:t xml:space="preserve"> eur te je u PR-RAS izvještaj unesen pod AOP 92221.  </w:t>
      </w:r>
    </w:p>
    <w:p>
      <w:r>
        <w:t xml:space="preserve"> </w:t>
      </w:r>
    </w:p>
    <w:p>
      <w:r>
        <w:t xml:space="preserve">Preneseni višak prihoda od nefinancijske imovine na datum 01.01.2025. iznosio je 2.029.726,57 eur te je, sukladno uputi iz Okružnice Ministarstva financija, izvršena korekcija rezultata za vrijednost primljenog predujma EU u 2024. godini u iznosu 1.960.151,68 eur u rezultatu viška prihoda od nefinancijske imovine.  Nakon provedene korekcije, novi </w:t>
      </w:r>
      <w:r>
        <w:rPr>
          <w:b/>
        </w:rPr>
        <w:t xml:space="preserve">preneseni višak prihoda od nefinancijske imovine</w:t>
      </w:r>
      <w:r>
        <w:t xml:space="preserve"> iznosi </w:t>
      </w:r>
      <w:r>
        <w:rPr>
          <w:b/>
        </w:rPr>
        <w:t xml:space="preserve">69.574,89 </w:t>
      </w:r>
      <w:r>
        <w:t xml:space="preserve">eur te je isti unesen u PR-RAS izvještaj pod AOP 92212.</w:t>
      </w:r>
    </w:p>
    <w:p>
      <w:r>
        <w:t xml:space="preserve"> </w:t>
      </w:r>
    </w:p>
    <w:p>
      <w:r>
        <w:rPr>
          <w:b/>
        </w:rPr>
        <w:t xml:space="preserve">Preneseni manjak prihoda od financijske imovine iznosi 99.044,40 eur</w:t>
      </w:r>
      <w:r>
        <w:t xml:space="preserve">. </w:t>
      </w:r>
    </w:p>
    <w:p>
      <w:r>
        <w:t xml:space="preserve">Slijedom navedenog, ukupan preneseni manjak iznos 12.915.802,34 eur.</w:t>
      </w:r>
    </w:p>
    <w:p>
      <w:r>
        <w:t xml:space="preserve">Rezultat izvještajnog razdoblja iznosi manjak prihoda u ukupnom iznosu </w:t>
      </w:r>
      <w:r>
        <w:rPr>
          <w:b/>
        </w:rPr>
        <w:t xml:space="preserve">3.452.211,79 eur.</w:t>
      </w:r>
    </w:p>
    <w:p>
      <w:r>
        <w:t xml:space="preserve">Rezultat manjka poslovanja za pokriće u idućem razdoblju iznosi </w:t>
      </w:r>
      <w:r>
        <w:rPr>
          <w:b/>
        </w:rPr>
        <w:t xml:space="preserve">16.368.014,13 eur. </w:t>
      </w:r>
    </w:p>
    <w:p>
      <w:r>
        <w:t xml:space="preserve"> </w:t>
      </w:r>
    </w:p>
    <w:p>
      <w:r>
        <w:t xml:space="preserve">Podaci o stanju konta 639, 671 i 369 za razdoblje 01.01. - 31.12.2025.</w:t>
      </w:r>
    </w:p>
    <w:tbl>
      <w:tblPr>
        <w:tblStyle w:val="TableGrid"/>
        <w:tblW w:w="3417.06" w:type="pct"/>
      </w:tblPr>
      <w:tblGrid>
        <w:gridCol w:w="2406"/>
        <w:gridCol w:w="3780"/>
        <w:gridCol w:w="3438"/>
      </w:tblGrid>
      <w:tr>
        <w:trPr/>
        <w:tc>
          <w:tcPr>
            <w:tcW w:w="1249" w:type="pct"/>
            <w:vAlign w:val="center"/>
          </w:tcPr>
          <w:p>
            <w:pPr>
              <w:keepNext/>
              <w:jc w:val="center"/>
            </w:pPr>
            <w:r>
              <w:t xml:space="preserve"> </w:t>
            </w:r>
          </w:p>
        </w:tc>
        <w:tc>
          <w:tcPr>
            <w:tcW w:w="1964" w:type="pct"/>
            <w:vAlign w:val="center"/>
          </w:tcPr>
          <w:p>
            <w:pPr>
              <w:keepNext/>
              <w:jc w:val="center"/>
            </w:pPr>
            <w:r>
              <w:t xml:space="preserve">01.01.2024.  - 31.12.2024.</w:t>
            </w:r>
          </w:p>
        </w:tc>
        <w:tc>
          <w:tcPr>
            <w:tcW w:w="1786" w:type="pct"/>
            <w:vAlign w:val="center"/>
          </w:tcPr>
          <w:p>
            <w:pPr>
              <w:keepNext/>
              <w:jc w:val="center"/>
            </w:pPr>
            <w:r>
              <w:t xml:space="preserve">01.01.2025. - 31.12.2025.</w:t>
            </w:r>
          </w:p>
        </w:tc>
      </w:tr>
      <w:tr>
        <w:trPr/>
        <w:tc>
          <w:tcPr>
            <w:tcW w:w="1249" w:type="pct"/>
            <w:vAlign w:val="center"/>
          </w:tcPr>
          <w:p>
            <w:pPr>
              <w:keepNext/>
              <w:jc w:val="center"/>
            </w:pPr>
            <w:r>
              <w:t xml:space="preserve">Decentralizirana sredstva</w:t>
            </w:r>
          </w:p>
        </w:tc>
        <w:tc>
          <w:tcPr>
            <w:tcW w:w="1964" w:type="pct"/>
            <w:vAlign w:val="center"/>
          </w:tcPr>
          <w:p>
            <w:pPr>
              <w:keepNext/>
              <w:jc w:val="center"/>
            </w:pPr>
            <w:r>
              <w:t xml:space="preserve">648.938,00</w:t>
            </w:r>
          </w:p>
        </w:tc>
        <w:tc>
          <w:tcPr>
            <w:tcW w:w="1786" w:type="pct"/>
            <w:vAlign w:val="center"/>
          </w:tcPr>
          <w:p>
            <w:pPr>
              <w:keepNext/>
              <w:jc w:val="center"/>
            </w:pPr>
            <w:r>
              <w:t xml:space="preserve">622.430,71</w:t>
            </w:r>
          </w:p>
        </w:tc>
      </w:tr>
      <w:tr>
        <w:trPr/>
        <w:tc>
          <w:tcPr>
            <w:tcW w:w="1249" w:type="pct"/>
            <w:vAlign w:val="center"/>
          </w:tcPr>
          <w:p>
            <w:pPr>
              <w:keepNext/>
              <w:jc w:val="center"/>
            </w:pPr>
            <w:r>
              <w:t xml:space="preserve">Sredstva županijskog proračuna</w:t>
            </w:r>
          </w:p>
        </w:tc>
        <w:tc>
          <w:tcPr>
            <w:tcW w:w="1964" w:type="pct"/>
            <w:vAlign w:val="center"/>
          </w:tcPr>
          <w:p>
            <w:pPr>
              <w:keepNext/>
              <w:jc w:val="center"/>
            </w:pPr>
            <w:r>
              <w:t xml:space="preserve">407.179,08</w:t>
            </w:r>
          </w:p>
        </w:tc>
        <w:tc>
          <w:tcPr>
            <w:tcW w:w="1786" w:type="pct"/>
            <w:vAlign w:val="center"/>
          </w:tcPr>
          <w:p>
            <w:pPr>
              <w:keepNext/>
              <w:jc w:val="center"/>
            </w:pPr>
            <w:r>
              <w:t xml:space="preserve">3.066.871,58</w:t>
            </w:r>
          </w:p>
        </w:tc>
      </w:tr>
      <w:tr>
        <w:trPr/>
        <w:tc>
          <w:tcPr>
            <w:tcW w:w="1249" w:type="pct"/>
            <w:vAlign w:val="center"/>
          </w:tcPr>
          <w:p>
            <w:pPr>
              <w:keepNext/>
              <w:jc w:val="center"/>
            </w:pPr>
            <w:r>
              <w:t xml:space="preserve">UKUPNO</w:t>
            </w:r>
          </w:p>
        </w:tc>
        <w:tc>
          <w:tcPr>
            <w:tcW w:w="1964" w:type="pct"/>
            <w:vAlign w:val="center"/>
          </w:tcPr>
          <w:p>
            <w:pPr>
              <w:keepNext/>
              <w:jc w:val="center"/>
            </w:pPr>
            <w:r>
              <w:t xml:space="preserve">1.056.117,08</w:t>
            </w:r>
          </w:p>
        </w:tc>
        <w:tc>
          <w:tcPr>
            <w:tcW w:w="1786" w:type="pct"/>
            <w:vAlign w:val="center"/>
          </w:tcPr>
          <w:p>
            <w:pPr>
              <w:keepNext/>
              <w:jc w:val="center"/>
            </w:pPr>
            <w:r>
              <w:t xml:space="preserve">3.689.302,29</w:t>
            </w:r>
          </w:p>
        </w:tc>
      </w:tr>
      <w:tr>
        <w:trPr/>
        <w:tc>
          <w:tcPr>
            <w:tcW w:w="1249" w:type="pct"/>
            <w:vAlign w:val="center"/>
          </w:tcPr>
          <w:p>
            <w:pPr>
              <w:keepNext/>
              <w:jc w:val="center"/>
            </w:pPr>
            <w:r>
              <w:t xml:space="preserve">Ukupno za razdoblje 6711</w:t>
            </w:r>
          </w:p>
        </w:tc>
        <w:tc>
          <w:tcPr>
            <w:tcW w:w="1964" w:type="pct"/>
            <w:vAlign w:val="center"/>
          </w:tcPr>
          <w:p>
            <w:pPr>
              <w:keepNext/>
              <w:jc w:val="center"/>
            </w:pPr>
            <w:r>
              <w:t xml:space="preserve">195.750,95</w:t>
            </w:r>
          </w:p>
        </w:tc>
        <w:tc>
          <w:tcPr>
            <w:tcW w:w="1786" w:type="pct"/>
            <w:vAlign w:val="center"/>
          </w:tcPr>
          <w:p>
            <w:pPr>
              <w:keepNext/>
              <w:jc w:val="center"/>
            </w:pPr>
            <w:r>
              <w:t xml:space="preserve">291.841,61</w:t>
            </w:r>
          </w:p>
        </w:tc>
      </w:tr>
      <w:tr>
        <w:trPr/>
        <w:tc>
          <w:tcPr>
            <w:tcW w:w="1249" w:type="pct"/>
            <w:vAlign w:val="center"/>
          </w:tcPr>
          <w:p>
            <w:pPr>
              <w:keepNext/>
              <w:jc w:val="center"/>
            </w:pPr>
            <w:r>
              <w:t xml:space="preserve">Ukupno za razdoblje 6712</w:t>
            </w:r>
          </w:p>
        </w:tc>
        <w:tc>
          <w:tcPr>
            <w:tcW w:w="1964" w:type="pct"/>
            <w:vAlign w:val="center"/>
          </w:tcPr>
          <w:p>
            <w:pPr>
              <w:keepNext/>
              <w:jc w:val="center"/>
            </w:pPr>
            <w:r>
              <w:t xml:space="preserve">860.366,13</w:t>
            </w:r>
          </w:p>
        </w:tc>
        <w:tc>
          <w:tcPr>
            <w:tcW w:w="1786" w:type="pct"/>
            <w:vAlign w:val="center"/>
          </w:tcPr>
          <w:p>
            <w:pPr>
              <w:keepNext/>
              <w:jc w:val="center"/>
            </w:pPr>
            <w:r>
              <w:t xml:space="preserve">3.397.460,68</w:t>
            </w:r>
          </w:p>
        </w:tc>
      </w:tr>
      <w:tr>
        <w:trPr/>
        <w:tc>
          <w:tcPr>
            <w:tcW w:w="1249" w:type="pct"/>
            <w:vAlign w:val="center"/>
          </w:tcPr>
          <w:p>
            <w:pPr>
              <w:keepNext/>
              <w:jc w:val="center"/>
            </w:pPr>
            <w:r>
              <w:t xml:space="preserve">Ukupno za razdoblje 6714</w:t>
            </w:r>
          </w:p>
        </w:tc>
        <w:tc>
          <w:tcPr>
            <w:tcW w:w="1964" w:type="pct"/>
            <w:vAlign w:val="center"/>
          </w:tcPr>
          <w:p>
            <w:pPr>
              <w:keepNext/>
              <w:jc w:val="center"/>
            </w:pPr>
            <w:r>
              <w:t xml:space="preserve">0,00</w:t>
            </w:r>
          </w:p>
        </w:tc>
        <w:tc>
          <w:tcPr>
            <w:tcW w:w="1786" w:type="pct"/>
            <w:vAlign w:val="center"/>
          </w:tcPr>
          <w:p>
            <w:pPr>
              <w:keepNext/>
              <w:jc w:val="center"/>
            </w:pPr>
            <w:r>
              <w:t xml:space="preserve">0,00</w:t>
            </w:r>
          </w:p>
        </w:tc>
      </w:tr>
      <w:tr>
        <w:trPr/>
        <w:tc>
          <w:tcPr>
            <w:tcW w:w="1249" w:type="pct"/>
            <w:vAlign w:val="center"/>
          </w:tcPr>
          <w:p>
            <w:pPr>
              <w:keepNext/>
              <w:jc w:val="center"/>
            </w:pPr>
            <w:r>
              <w:t xml:space="preserve">UKUPNO</w:t>
            </w:r>
          </w:p>
        </w:tc>
        <w:tc>
          <w:tcPr>
            <w:tcW w:w="1964" w:type="pct"/>
            <w:vAlign w:val="center"/>
          </w:tcPr>
          <w:p>
            <w:pPr>
              <w:keepNext/>
              <w:jc w:val="center"/>
            </w:pPr>
            <w:r>
              <w:t xml:space="preserve">1.056.117,08</w:t>
            </w:r>
          </w:p>
        </w:tc>
        <w:tc>
          <w:tcPr>
            <w:tcW w:w="1786" w:type="pct"/>
            <w:vAlign w:val="center"/>
          </w:tcPr>
          <w:p>
            <w:pPr>
              <w:keepNext/>
              <w:jc w:val="center"/>
            </w:pPr>
            <w:r>
              <w:t xml:space="preserve">3.689.302,29</w:t>
            </w:r>
          </w:p>
        </w:tc>
      </w:tr>
      <w:tr>
        <w:trPr/>
        <w:tc>
          <w:tcPr>
            <w:tcW w:w="1249" w:type="pct"/>
            <w:vAlign w:val="center"/>
          </w:tcPr>
          <w:p>
            <w:pPr>
              <w:keepNext/>
              <w:jc w:val="center"/>
            </w:pPr>
            <w:r>
              <w:t xml:space="preserve">Ukupno za razdoblje 639</w:t>
            </w:r>
          </w:p>
        </w:tc>
        <w:tc>
          <w:tcPr>
            <w:tcW w:w="1964" w:type="pct"/>
            <w:vAlign w:val="center"/>
          </w:tcPr>
          <w:p>
            <w:pPr>
              <w:keepNext/>
              <w:jc w:val="center"/>
            </w:pPr>
            <w:r>
              <w:t xml:space="preserve">0,00</w:t>
            </w:r>
          </w:p>
        </w:tc>
        <w:tc>
          <w:tcPr>
            <w:tcW w:w="1786" w:type="pct"/>
            <w:vAlign w:val="center"/>
          </w:tcPr>
          <w:p>
            <w:pPr>
              <w:keepNext/>
              <w:jc w:val="center"/>
            </w:pPr>
            <w:r>
              <w:t xml:space="preserve">0,00</w:t>
            </w:r>
          </w:p>
        </w:tc>
      </w:tr>
      <w:tr>
        <w:trPr/>
        <w:tc>
          <w:tcPr>
            <w:tcW w:w="1249" w:type="pct"/>
            <w:vAlign w:val="center"/>
          </w:tcPr>
          <w:p>
            <w:pPr>
              <w:keepNext/>
              <w:jc w:val="center"/>
            </w:pPr>
            <w:r>
              <w:t xml:space="preserve">Ukupno za razdoblje 369</w:t>
            </w:r>
          </w:p>
        </w:tc>
        <w:tc>
          <w:tcPr>
            <w:tcW w:w="1964" w:type="pct"/>
            <w:vAlign w:val="center"/>
          </w:tcPr>
          <w:p>
            <w:pPr>
              <w:keepNext/>
              <w:jc w:val="center"/>
            </w:pPr>
            <w:r>
              <w:t xml:space="preserve">3.184.338,80</w:t>
            </w:r>
          </w:p>
        </w:tc>
        <w:tc>
          <w:tcPr>
            <w:tcW w:w="1786" w:type="pct"/>
            <w:vAlign w:val="center"/>
          </w:tcPr>
          <w:p>
            <w:pPr>
              <w:keepNext/>
              <w:jc w:val="center"/>
            </w:pPr>
            <w:r>
              <w:t xml:space="preserve">211.251,06</w:t>
            </w:r>
          </w:p>
        </w:tc>
      </w:tr>
    </w:tbl>
    <w:p>
      <w:r>
        <w:t xml:space="preserve">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Zdravstvo (šifre 071+072+073+074+075+076)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35.295.324,66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40.493.907,04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w:t>
            </w:r>
          </w:p>
        </w:tc>
      </w:tr>
    </w:tbl>
    <w:p>
      <w:pPr>
        <w:spacing w:before="0" w:after="0"/>
      </w:pPr>
    </w:p>
    <w:p>
      <w:r>
        <w:t xml:space="preserve">Rashode poslovanja ( 3) (u 2025. godini iznose: 30.606.350,74 eur) i rashode za nabavu nefinancijske imovine ( 4 ) (u 2025. iznose: 9.887.556,30 eur) evidentirali smo pod brojčanu oznaku funkcijske klasifikacije 0732 – Usluge specijalističkih bolnica u ukupnom iznosu od 40.493.907,04 eur.</w:t>
      </w:r>
    </w:p>
    <w:p>
      <w:r>
        <w:t xml:space="preserve">Razlika u iznosu na izvještajno razdoblje prošle godine iznosi ukupno povećanje za 14,7% kao rezultat rasta troškova u dijelu dodatnih ulaganja na građevinskim objektima. </w:t>
      </w:r>
    </w:p>
    <w:p>
      <w:r>
        <w:t xml:space="preser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1.178.674,72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smanjenja: </w:t>
      </w:r>
    </w:p>
    <w:p>
      <w:r>
        <w:t xml:space="preserve">1.      Šifra P003 u ukupnom iznosu od 1.172.120,24 eur odnosi se na ispravak vrijednosti dugotrajne nefinancijske imovine u 2025. godini</w:t>
      </w:r>
    </w:p>
    <w:p>
      <w:r>
        <w:t xml:space="preserve">2.      Šifra P014 u ukupnom iznosu 239,59 eur odnosi se na ispravak vrijednosti potraživanja i otpis po Odluci ravnatelja po izdanim računima za uslugu distribucije vode u slučajevima veće potrošnje uslijed puknuća vodovodne cijevi.</w:t>
      </w:r>
    </w:p>
    <w:p>
      <w:r>
        <w:t xml:space="preserve">3.      Šifra P029 u ukupnom iznosu 6.314,89 eur odnosi se na otpis potraživanja prema HZZO-u po Odluci Upravnog vijeća Bolnice, a prema Ugovornoj mjeri HZZO-a i Zapisniku o međusobnom usklađenju od HZZO-a.</w:t>
      </w:r>
    </w:p>
    <w:p>
      <w:r>
        <w:t xml:space="preserve">Slijedom navedenog, evidentirano je ukupno smanjenje u iznosu 1.178.674,72 eur.</w:t>
      </w:r>
    </w:p>
    <w:p>
      <w:r>
        <w:t xml:space="preserve">Rashod osnovnih sredstava u 2025. odnosi se na stavke dugotrajne nefinancijske imovine za koje je prethodno u potpunosti izvršen ispravak vrijednosti te stoga iste nisu evidentirane u izvještaju P-VRIO.</w:t>
      </w:r>
    </w:p>
    <w:p>
      <w:r>
        <w:t xml:space="preserv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14.410.275,09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Ukupne obveze na dan 31.12.2025. iznose 17.455.059,99 eur. Stanje obveza na datum 01.01.2025. godine iznosilo je 14.410.275,09 eur, s time da povećanje obveza, odnosno nove obveze u promatranom periodu iznose 69.190.165,21 eur, dok su podmirene, odnosno plaćene obveze 66.145.380,31 eur. </w:t>
      </w:r>
    </w:p>
    <w:p>
      <w:r>
        <w:t xml:space="preserve">Dospjele obveze u proračunskoj godini ako promatramo početak (1.332.713,14 eur) i kraj 2025. godine (621.000,24 eur) smanjene su za ukupno 711.712,90 eur (53,4%).</w:t>
      </w:r>
    </w:p>
    <w:p>
      <w:r>
        <w:t xml:space="preserve">U odnosu na prošlu godinu značajnije povećanje u dijelu generiranja novih obveza bilježe obveze za nabavu nefinancijske imovine (ukupno povećanje za 5.384.555,20 eur, odnosno 198,9%) uslijed dodatnih ulaganja na građevinskim objektima.</w:t>
      </w:r>
    </w:p>
    <w:p>
      <w:r>
        <w:t xml:space="preserve">Dospjele obveze su 621.000,24 eur, od čega se na obveze za materijalne rashode odnosi 471.899,79 eur, na obveze za financijske rashode se odnosi 2.353,69 eur, na obveze za nabavu nefinancijske imovine odnosi se iznos od 48.375,29 eur te obveze za predujmove, depozite, jamčevne pologe i tuđe prihode iznose 95.543,20 eur, te međusobne obveze subjekata općeg proračuna iznose 2.828,27 eur.</w:t>
      </w:r>
    </w:p>
    <w:p>
      <w:r>
        <w:t xml:space="preserve">Nedospjele obveze iznose ukupno 16.834.059,75 eur. U njima je sadržana obveza za manje izvršeni rad prema HZZO-u u odnosu na ugovoreni limit u iznosu od 13.484.677,90 eur. </w:t>
      </w:r>
    </w:p>
    <w:p>
      <w:r>
        <w:t xml:space="preserve">Ukupne obveze gledane bez manje izvršenog rada prema HZZO-u iznose 3.970.382,09 eur.</w:t>
      </w:r>
    </w:p>
    <w:p>
      <w:r>
        <w:t xml:space="preserve"> </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621.000,24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iznose 621.000,24 eur, od čega se na obveze za materijalne rashode odnosi 471.899,79 eur, na obveze za financijske rashode se odnosi 2.353,69 eur, na obveze za nabavu nefinancijske imovine odnosi se iznos od 48.375,29 eur te obveze za predujmove, depozite, jamčevne pologe i tuđe prihode iznose 95.543,20 eur, te međusobne obveze subjekata općeg proračuna iznose 2.828,27 eur.</w:t>
      </w:r>
    </w:p>
    <w:p/>
    <w:p>
      <w:pPr>
        <w:jc w:val="center"/>
        <w:pStyle w:val="Normal"/>
        <w:spacing w:line="240" w:lineRule="auto"/>
        <w:keepNext/>
      </w:pPr>
      <w:r>
        <w:rPr>
          <w:sz w:val="28"/>
          <w:rFonts w:ascii="Times New Roman" w:hAnsi="Times New Roman"/>
        </w:rPr>
        <w:t xml:space="preserve">Bilješka 65.</w:t>
      </w:r>
    </w:p>
    <w:p>
      <w:pPr>
        <w:jc w:val="both"/>
        <w:pStyle w:val="Normal"/>
        <w:spacing w:line="240" w:lineRule="auto"/>
      </w:pPr>
      <w:r>
        <w:rPr>
          <w:b/>
          <w:sz w:val="24"/>
          <w:rFonts w:ascii="Times New Roman" w:hAnsi="Times New Roman"/>
        </w:rPr>
        <w:t xml:space="preserve">EU izvještaj</w:t>
      </w:r>
    </w:p>
    <w:p>
      <w:r>
        <w:t xml:space="preserve">Tekuće pomoći od izvanproračunskog korisnika temeljem prijenosa EU sredstava iznose 86.972,26 eura u 2025. godini i odnose se na sredstva pomoći HZZ-a za mjeru Pripravništvo, sredstva za 9 pripravnika (prema Planu prijema pripravnika Ministarstva zdravstva). Sredstva su isplaćena u 2024. godini te je temeljem uputa iz Okružnice o sastavljanju, konsolidaciji i predaji financijskih izvještaja proračuna, proračunskih i izvanproračunskih korisnika državnog proračuna te proračunskih i izvanproračunskih korisnika proračuna jedinica lokalne i područne (regionalne) samouprave za razdoblje od 01. siječnja do 31. prosinca 2025., KLASA: 400-02/25-01/14, URBROJ: 513-17-01-26-5 (dalje u tekstu Okružnica) provedena korekcija prenesenog rezultata za 2024. godinu na način da je iskazana obveza za primljeni predujam, ista je zatvorena i priznati su prihodi u iznosu od 86.972,26 eura. Rashodi za plaću, doprinose za zdravstveno osiguranje i putne troškove pripravnika iznose 88.145,04 eura, a iz izvora 561 - Europski socijalni fond plus pokriva se iznos od 85.881,36 eura dok se ostali rashodi pokrivaju iz vlastitih prihoda. Razlika od 1.090,90 eura odnosi se na više uplaćena sredstva za troškove prijevoza.</w:t>
      </w:r>
    </w:p>
    <w:p>
      <w:r>
        <w:t xml:space="preserve"> </w:t>
      </w:r>
    </w:p>
    <w:p>
      <w:r>
        <w:t xml:space="preserve">Temeljem Poziva na dodjelu bespovratnih financijskih sredstava „Vraćanje u uporabljivo stanje infrastrukture u području zdravstva na području Grada Zagreba, Krapinsko-zagorske županije, Zagrebačke županije, Sisačko-moslavačke županije, Karlovačke županije, Varaždinske županije, Međimurske županije, Brodsko-posavske županije, Koprivničko-križevačke županije i Bjelovarsko-bilogorske županije“ sklopljen je Ugovor o dodjeli bespovratnih financijskih sredstava za operacije koje se financiraju iz Fonda solidarnosti Europske unije. U 2022. godini je potpisan osnovni Ugovor, nakon toga i 9 Dodataka Ugovoru čija je vrijednost 25.469.869,80 eura. Iz Fonda solidarnosti EU i iz Državnog proračuna financira se iznos od 5.220.334,29 eura (20,50%), a ostatak od 20.249.535,51 euro (79,50%) iz Mehanizma za oporavak i otpornost i/ili drugih izvora. Dodatkom br. 8 Ugovoru o dodjeli bespovratnih financijskih sredstava osigurano je financiranje cjelovite obnove stare zgrade bolnice kao i stručnog i projektantskog nadzora na radovima cjelovite obnove stare zgrade i upravljanje projektom gradnje. Po završetku cjelovite obnove, iz istog izvora se financira i ishođenje energetskog certifikata za staru zgradu.</w:t>
      </w:r>
    </w:p>
    <w:p>
      <w:r>
        <w:t xml:space="preserve">S osnova Ugovora o dodjeli bespovratnih financijskih sredstava, u 2025. godini oprihodovano je 5.126.544,68 eura pri čemu je iznos od 2.790.503,92 eura iz izvora 581 - Mehanizam za oporavak i otpornost – bespovratna sredstva, a iznos od 2.336.040,76 eura iz izvora 815 - Mehanizam za oporavak i otpornost (NPOO - zajam).  </w:t>
      </w:r>
    </w:p>
    <w:p>
      <w:r>
        <w:t xml:space="preserve">Na rashodima je u 2025. godini evidentiran isti iznos na izvoru 815, dok je na izvoru 581 evidentirano  3.222.042,51 eura. Razlika od 431.538,59 eura odnosi se na troškove za koje se očekuje odobrenje. </w:t>
      </w:r>
    </w:p>
    <w:p>
      <w:r>
        <w:t xml:space="preserve">Aktivnosti koje su ranije završene, do travnja 2024. godine su sanacija štete na hidroterapiji – krovište Marijinog bazena i NBO bazen, sanacija klizišta uz bolnicu, uređenje vanjske površine u krugu zgrade stare bolnice uključujući izrade potrebnih elaborata i nadzore, izrada projektno-tehničke dokumentacije  cjelovite obnove stare zgrade, cjelovita obnova NBO objekta, nabavljene su i perilice rublja te računala, a financirale su se i usluge pripreme postupaka javne nabave. Završena je rekonstrukcija kotlovnice i glavne toplinske stanice i zamjena dotrajalih klima komora uz potrebne nadzore i priključenje na elektroenergetsku mrežu. Ishođen je energetski certifikat za novi bolnički objekt.</w:t>
      </w:r>
    </w:p>
    <w:p>
      <w:r>
        <w:t xml:space="preserve">Cjelovita obnova Stare zgrade počela je u studenom 2024. godine. S izvođačem radova je 28. listopada 2024. sklopljen ugovor čija je ukupna vrijednost 15.285.985,53 eura. Potom su sklapani i dodaci ugovoru te sveukupna ugovorena vrijednost radova sa svim dodacima ugovoru iznosi 15.880.619,21 eura.</w:t>
      </w:r>
    </w:p>
    <w:p>
      <w:r>
        <w:t xml:space="preserve"> </w:t>
      </w:r>
    </w:p>
    <w:p>
      <w:r>
        <w:t xml:space="preserve">U prosincu 2024. godine je poslan zahtjev za plaćanje ugovornog predujma na iznos od 3.948.313,47 eura koji je odobren te je isplata izvršena istoga mjeseca. Od navedenog iznosa, 3.222.042,51 eura financira iz Mehanizma za oporavak i otpornost, a ostatak iz izvora Državni proračun. Temeljem uputa iz Okružnice provedena je korekcija prenesenog rezultata za 2024. godinu na način da je iskazana obveza za primljeni predujam. Bolnica je temeljem predanih Zahtjeva za nadoknadom sredstava opravdala predujam u iznosu od 2.790.503,92 eura te je prema tome iskazana obveza za primljeni predujam u iznosu od 431.538,59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7322f9e6e94d11" /></Relationships>
</file>