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da810984d3bb4f20" /></Relationships>
</file>

<file path=word/document.xml><?xml version="1.0" encoding="utf-8"?>
<w:document xmlns:w="http://schemas.openxmlformats.org/wordprocessingml/2006/main">
  <w:body>
    <w:tbl>
      <w:tblPr>
        <w:tblW w:w="9000" w:type="dxa"/>
        <w:tblBorders>
          <w:top w:val="nil"/>
          <w:bottom w:val="nil"/>
          <w:left w:val="nil"/>
          <w:right w:val="nil"/>
          <w:insideH w:val="nil"/>
          <w:insideV w:val="nil"/>
        </w:tblBorders>
        <w:tblCellSpacing w:w="60" w:type="dxa"/>
        <w:shd w:val="clear" w:color="auto" w:fill="E7F0F9"/>
      </w:tblPr>
      <w:tblGrid>
        <w:gridCol w:w="1200"/>
        <w:gridCol w:w="4500"/>
      </w:tblGrid>
      <w:tr>
        <w:tc>
          <w:tcPr>
            <w:tcW w:w="1200" w:type="pct"/>
            <w:shd w:val="clear" w:color="auto" w:fill="E7F0F9"/>
          </w:tcPr>
          <w:p>
            <w:pPr>
              <w:spacing w:before="0" w:after="0" w:line="240" w:lineRule="auto"/>
              <w:jc w:val="left"/>
            </w:pPr>
            <w:r>
              <w:rPr>
                <w:b/>
              </w:rPr>
              <w:t xml:space="preserve">RKP broj</w:t>
            </w:r>
          </w:p>
        </w:tc>
        <w:tc>
          <w:tcPr>
            <w:shd w:val="clear" w:color="auto" w:fill="E7F0F9"/>
          </w:tcPr>
          <w:p>
            <w:pPr>
              <w:spacing w:before="0" w:after="0" w:line="240" w:lineRule="auto"/>
              <w:jc w:val="left"/>
            </w:pPr>
            <w:r>
              <w:t xml:space="preserve">40711</w:t>
            </w:r>
          </w:p>
        </w:tc>
      </w:tr>
      <w:tr>
        <w:tc>
          <w:tcPr>
            <w:tcW w:w="1200" w:type="pct"/>
            <w:shd w:val="clear" w:color="auto" w:fill="E7F0F9"/>
          </w:tcPr>
          <w:p>
            <w:pPr>
              <w:spacing w:before="0" w:after="0" w:line="240" w:lineRule="auto"/>
              <w:jc w:val="left"/>
            </w:pPr>
            <w:r>
              <w:rPr>
                <w:b/>
              </w:rPr>
              <w:t xml:space="preserve">Naziv obveznika</w:t>
            </w:r>
          </w:p>
        </w:tc>
        <w:tc>
          <w:tcPr>
            <w:shd w:val="clear" w:color="auto" w:fill="E7F0F9"/>
          </w:tcPr>
          <w:p>
            <w:pPr>
              <w:spacing w:before="0" w:after="0" w:line="240" w:lineRule="auto"/>
              <w:jc w:val="left"/>
            </w:pPr>
            <w:r>
              <w:t xml:space="preserve">SPECIJALNA BOLNICA ZA MEDICINSKU REHABILITACIJU KRAPINSKE TOPLICE</w:t>
            </w:r>
          </w:p>
        </w:tc>
      </w:tr>
      <w:tr>
        <w:tc>
          <w:tcPr>
            <w:tcW w:w="1200" w:type="pct"/>
            <w:shd w:val="clear" w:color="auto" w:fill="E7F0F9"/>
          </w:tcPr>
          <w:p>
            <w:pPr>
              <w:spacing w:before="0" w:after="0" w:line="240" w:lineRule="auto"/>
              <w:jc w:val="left"/>
            </w:pPr>
            <w:r>
              <w:rPr>
                <w:b/>
              </w:rPr>
              <w:t xml:space="preserve">Razina</w:t>
            </w:r>
          </w:p>
        </w:tc>
        <w:tc>
          <w:tcPr>
            <w:shd w:val="clear" w:color="auto" w:fill="E7F0F9"/>
          </w:tcPr>
          <w:p>
            <w:pPr>
              <w:spacing w:before="0" w:after="0" w:line="240" w:lineRule="auto"/>
              <w:jc w:val="left"/>
            </w:pPr>
            <w:r>
              <w:t xml:space="preserve">31</w:t>
            </w:r>
          </w:p>
        </w:tc>
      </w:tr>
    </w:tbl>
    <w:p>
      <w:r>
        <w:br/>
      </w:r>
    </w:p>
    <w:p>
      <w:pPr>
        <w:jc w:val="center"/>
        <w:pStyle w:val="Normal"/>
        <w:spacing w:line="240" w:lineRule="auto"/>
      </w:pPr>
      <w:r>
        <w:rPr>
          <w:b/>
          <w:sz w:val="28"/>
          <w:rFonts w:ascii="Times New Roman" w:hAnsi="Times New Roman"/>
        </w:rPr>
        <w:t xml:space="preserve">BILJEŠKE UZ FINANCIJSKE IZVJEŠTAJE</w:t>
      </w:r>
    </w:p>
    <w:p>
      <w:pPr>
        <w:jc w:val="center"/>
        <w:pStyle w:val="Normal"/>
        <w:spacing w:line="240" w:lineRule="auto"/>
      </w:pPr>
      <w:r>
        <w:rPr>
          <w:b/>
          <w:sz w:val="28"/>
          <w:rFonts w:ascii="Times New Roman" w:hAnsi="Times New Roman"/>
        </w:rPr>
        <w:t xml:space="preserve">ZA RAZDOBLJE</w:t>
      </w:r>
    </w:p>
    <w:p>
      <w:pPr>
        <w:jc w:val="center"/>
        <w:pStyle w:val="Normal"/>
        <w:spacing w:line="240" w:lineRule="auto"/>
      </w:pPr>
      <w:r>
        <w:rPr>
          <w:b/>
          <w:sz w:val="28"/>
          <w:rFonts w:ascii="Times New Roman" w:hAnsi="Times New Roman"/>
        </w:rPr>
        <w:t xml:space="preserve">I - IX 2026.</w:t>
      </w:r>
    </w:p>
    <w:p/>
    <w:p>
      <w:pPr>
        <w:jc w:val="center"/>
        <w:pStyle w:val="Normal"/>
        <w:spacing w:line="240" w:lineRule="auto"/>
        <w:keepNext/>
      </w:pPr>
      <w:r>
        <w:rPr>
          <w:b/>
          <w:sz w:val="28"/>
          <w:rFonts w:ascii="Times New Roman" w:hAnsi="Times New Roman"/>
        </w:rPr>
        <w:t xml:space="preserve">Izvještaj o prihodima i rashodima, primicima i izdacima</w:t>
      </w:r>
    </w:p>
    <w:p>
      <w:pPr>
        <w:jc w:val="center"/>
        <w:pStyle w:val="Normal"/>
        <w:spacing w:line="240" w:lineRule="auto"/>
        <w:keepNext/>
      </w:pPr>
      <w:r>
        <w:rPr>
          <w:sz w:val="28"/>
          <w:rFonts w:ascii="Times New Roman" w:hAnsi="Times New Roman"/>
        </w:rPr>
        <w:t xml:space="preserve">Bilješka 1.</w:t>
      </w:r>
    </w:p>
    <w:tbl>
      <w:tblPr>
        <w:tblBorders>
          <w:top w:val="single" w:color="BABABA" w:sz="12"/>
          <w:bottom w:val="single" w:color="BABABA" w:sz="12"/>
          <w:left w:val="single" w:color="BABABA" w:sz="12"/>
          <w:right w:val="single" w:color="BABABA" w:sz="12"/>
          <w:insideH w:val="single" w:color="BABABA" w:sz="8"/>
          <w:insideV w:val="single" w:color="DADADA" w:sz="8"/>
        </w:tblBorders>
        <w:tblW w:w="0" w:type="auto"/>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21.420.133,47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34.666.355,22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161,8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22.503.438,31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27.010.115,50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 PRIHODA POSLOVANJA (šifre 6-Z005)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7.656.239,72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1.528,53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272,8</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6.137.976,37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8.316.618,89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OD NEFINANCIJSKE IMOVINE (šifre 4-7)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6.137.416,06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8.315.090,36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135,5</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VIŠAK/MANJAK PRIMITAKA OD FINANCIJSKE IMOVINE I ZADUŽIVANJA (šifre 8-5, 5-8)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X003, Y003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MANJAK PRIHODA I PRIMITAKA (šifre Y345-X678)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b/>
              </w:rPr>
              <w:t>Y005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7.220.720,90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658.850,64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b/>
              </w:rPr>
              <w:t>9,1</w:t>
            </w:r>
          </w:p>
        </w:tc>
      </w:tr>
    </w:tbl>
    <w:p>
      <w:pPr>
        <w:spacing w:before="0" w:after="0"/>
      </w:pPr>
    </w:p>
    <w:p>
      <w:r>
        <w:t xml:space="preserve">PRIHODI POSLOVANJA</w:t>
      </w:r>
    </w:p>
    <w:p>
      <w:pPr>
        <w:jc w:val="both"/>
      </w:pPr>
      <w:r>
        <w:t xml:space="preserve">U razdoblju od 1. siječnja do 30. rujna 2026. godine prihodi poslovanja ostvareni su u ukupnom iznosu od 34.666.355,22 EUR, što predstavlja povećanje od 61,8 % u odnosu na isto izvještajno razdoblje prethodne godine.</w:t>
      </w:r>
    </w:p>
    <w:p>
      <w:pPr>
        <w:jc w:val="both"/>
      </w:pPr>
      <w:r>
        <w:t xml:space="preserve">Najznačajnije povećanje prihoda poslovanja evidentirano je na skupini 63 – Pomoći iz inozemstva i od subjekata unutar općeg proračuna, na kojoj su ostvareni prihodi u ukupnom iznosu od 6.849.022,56 EUR, što predstavlja povećanje od 874,4 % u odnosu na isto razdoblje prethodne godine.</w:t>
      </w:r>
    </w:p>
    <w:p>
      <w:pPr>
        <w:jc w:val="both"/>
      </w:pPr>
      <w:r>
        <w:t xml:space="preserve">Najveći dio navedenih prihoda, u iznosu od 6.324.905,73 EUR, odnosi se na odjeljak 6382 – Kapitalne pomoći temeljem prijenosa EU sredstava, ostvarene u okviru projekta FSEU – Sanacija štete od potresa na „Staroj zgradi” Specijalne bolnice za medicinsku rehabilitaciju Krapinske Toplice, temeljem podnesenih zahtjeva za nadoknadu sredstava br. 16, 17 i 18. U istom izvještajnom razdoblju prethodne godine prihodi po navedenoj osnovi nisu bili evidentirani.</w:t>
      </w:r>
    </w:p>
    <w:p>
      <w:pPr>
        <w:jc w:val="both"/>
      </w:pPr>
      <w:r>
        <w:t xml:space="preserve">Na odjeljku 6341 – Tekuće pomoći od izvanproračunskih korisnika ostvareni su prihodi u iznosu od 145.198,21 EUR, temeljem pomoći HZZO-a za refundaciju plaća pripravnika. U istom razdoblju prethodne godine po ovoj je osnovi ostvareno svega 616,55 EUR, što predstavlja izrazito značajno povećanje prihoda.</w:t>
      </w:r>
    </w:p>
    <w:p>
      <w:pPr>
        <w:jc w:val="both"/>
      </w:pPr>
      <w:r>
        <w:t xml:space="preserve">Značajno povećanje evidentirano je i na podskupini 671 – Prihodi iz nadležnog proračuna za financiranje redovne djelatnosti proračunskih korisnika, na kojoj su ostvareni prihodi u ukupnom iznosu od 4.659.870,52 EUR, odnosno 341,6 % više u odnosu na isto izvještajno razdoblje prethodne godine.</w:t>
      </w:r>
    </w:p>
    <w:p>
      <w:pPr>
        <w:jc w:val="both"/>
      </w:pPr>
      <w:r>
        <w:t xml:space="preserve">Od navedenog iznosa, na odjeljak 6712 – Prihodi iz nadležnog proračuna za financiranje rashoda za nabavu nefinancijske imovine odnosi se 4.374.962,40 EUR, što predstavlja povećanje od 391,1 %. Najveći dio ovih prihoda, u iznosu od 2.939.149,88 EUR, odnosi se na sredstva nadležnog proračuna osigurana za premošćivanje plaćanja obveza prema dobavljačima u okviru projekta FSEU – Sanacija štete od potresa na „Staroj zgradi” Bolnice (poveznica s rashodima evidentiranima na odjeljku 3694).</w:t>
      </w:r>
    </w:p>
    <w:p>
      <w:pPr>
        <w:jc w:val="both"/>
      </w:pPr>
      <w:r>
        <w:t xml:space="preserve">Preostali dio prihoda na navedenom odjeljku odnosi se na sredstva nadležnog proračuna za financiranje nabave nefinancijske imovine u iznosu od 1.417.075,02 EUR te decentralizirana sredstva za nabavu nefinancijske imovine u iznosu od 18.737,50 EUR.</w:t>
      </w:r>
    </w:p>
    <w:p>
      <w:pPr>
        <w:jc w:val="both"/>
      </w:pPr>
      <w:r>
        <w:t xml:space="preserve">Na odjeljku 6711 – Prihodi iz nadležnog proračuna za financiranje rashoda poslovanja ostvareni su prihodi u iznosu od 284.908,12 EUR, što predstavlja povećanje od 73,3 % u odnosu na isto izvještajno razdoblje prethodne godine. Od navedenog iznosa, 188.386,40 EUR odnosi se na decentralizirana sredstva za redovno poslovanje, dok se 96.521,72 EUR odnosi na sredstva nadležnog proračuna za financiranje redovnog poslovanja Bolnice.</w:t>
      </w:r>
    </w:p>
    <w:p>
      <w:pPr>
        <w:jc w:val="both"/>
      </w:pPr>
      <w:r>
        <w:t xml:space="preserve">Prihodi od HZZO-a na temelju ugovornih obveza, evidentirani na odjeljku 673, ostvareni su u iznosu od 17.296.575,14 EUR, što predstavlja povećanje od 21,4 % u odnosu na isto razdoblje prethodne godine.</w:t>
      </w:r>
    </w:p>
    <w:p>
      <w:pPr>
        <w:jc w:val="both"/>
      </w:pPr>
      <w:r>
        <w:t xml:space="preserve">Istodobno je evidentirano smanjenje prihoda na podskupini 636 – Pomoći proračunskim korisnicima iz proračuna koji im nije nadležan, za 46,0 %. Najznačajnije smanjenje odnosi se na kapitalne pomoći, koje su sa 186.098,90 EUR smanjene na 23.730,00 EUR, odnosno za 87,2%.</w:t>
      </w:r>
    </w:p>
    <w:p>
      <w:pPr>
        <w:jc w:val="both"/>
      </w:pPr>
      <w:r>
        <w:t xml:space="preserve"> </w:t>
      </w:r>
    </w:p>
    <w:p>
      <w:pPr>
        <w:jc w:val="both"/>
      </w:pPr>
      <w:r>
        <w:t xml:space="preserve">RASHODI POSLOVANJA</w:t>
      </w:r>
    </w:p>
    <w:p>
      <w:pPr>
        <w:jc w:val="both"/>
      </w:pPr>
      <w:r>
        <w:t xml:space="preserve">Rashodi poslovanja u razdoblju od 1. siječnja do 30. rujna 2026. godine ostvareni su u ukupnom iznosu od 27.010.115,50 EUR, što predstavlja povećanje od 20,0 % u odnosu na isto izvještajno razdoblje prethodne godine.</w:t>
      </w:r>
    </w:p>
    <w:p>
      <w:pPr>
        <w:jc w:val="both"/>
      </w:pPr>
      <w:r>
        <w:t xml:space="preserve">Najznačajnije relativno povećanje rashoda evidentirano je na podskupini 369 – Prijenosi između proračunskih korisnika istog proračuna, na kojoj su ostvareni rashodi u iznosu od 2.578.653,42 EUR, odnosno 1.120,7 % više u odnosu na prethodno izvještajno razdoblje.</w:t>
      </w:r>
    </w:p>
    <w:p>
      <w:pPr>
        <w:jc w:val="both"/>
      </w:pPr>
      <w:r>
        <w:t xml:space="preserve">Navedeni rashodi odnose se na kapitalne prijenose između proračunskih korisnika istog proračuna temeljem prijenosa EU sredstava, odnosno na povrat sredstava u nadležni proračun koja su prethodno osigurana za premošćivanje plaćanja obveza prema dobavljačima u okviru projekta FSEU – Sanacija štete od potresa na „Staroj zgradi” Bolnice.</w:t>
      </w:r>
    </w:p>
    <w:p>
      <w:pPr>
        <w:jc w:val="both"/>
      </w:pPr>
      <w:r>
        <w:t xml:space="preserve">Rashodi za zaposlene (skupina 31) u razdoblju od 1. siječnja do 30. rujna 2026. godine ostvareni su u iznosu od 19.740.119,10 EUR, što predstavlja povećanje od 7,6 % u odnosu na isto izvještajno razdoblje prethodne godine.</w:t>
      </w:r>
    </w:p>
    <w:p>
      <w:pPr>
        <w:jc w:val="both"/>
      </w:pPr>
      <w:r>
        <w:t xml:space="preserve">Povećanje rashoda za zaposlene povezano je, između ostalog i s povećanjem prosječnog broja zaposlenih prema stanju, s 805 na 829 zaposlenika, te povećanjem osnovice za obračun plaće zaposlenika u javnim službama.</w:t>
      </w:r>
    </w:p>
    <w:p>
      <w:pPr>
        <w:jc w:val="both"/>
      </w:pPr>
      <w:r>
        <w:t xml:space="preserve">Sukladno Odluci o visini osnovice za obračun plaće zaposlenicima u javnim službama u 2026. godini („Narodne novine”, broj 11/2026), osnovica je od 1. travnja 2026. povećana s 1.004,87 EUR na 1.015,00 EUR bruto, a od 1. kolovoza 2026. na 1.025,00 EUR bruto. Navedena povećanja osnovice, uz povećanje broja zaposlenih, utjecala su na rast rashoda za plaće i pripadajuće doprinose u izvještajnom razdoblju.</w:t>
      </w:r>
    </w:p>
    <w:p>
      <w:pPr>
        <w:jc w:val="both"/>
      </w:pPr>
      <w:r>
        <w:t xml:space="preserve">Materijalni rashodi, evidentirani na skupini 32, ostvareni su u ukupnom iznosu od 4.603.465,92 EUR, što predstavlja povećanje od 18,7 % u odnosu na isto izvještajno razdoblje prethodne godine.</w:t>
      </w:r>
    </w:p>
    <w:p>
      <w:pPr>
        <w:jc w:val="both"/>
      </w:pPr>
      <w:r>
        <w:t xml:space="preserve">Najznačajnije povećanje unutar materijalnih rashoda evidentirano je na rashodima za usluge (podskupina 323), koji iznose 1.427.292,19 EUR, odnosno 55,0 % više u odnosu na isto razdoblje prethodne godine.</w:t>
      </w:r>
    </w:p>
    <w:p>
      <w:pPr>
        <w:jc w:val="both"/>
      </w:pPr>
      <w:r>
        <w:t xml:space="preserve">Posebno se izdvajaju rashodi za usluge tekućeg i investicijskog održavanja (3232), ostvareni u iznosu od 415.420,22 EUR, što predstavlja povećanje od 138,5 %, te rashodi za intelektualne i osobne usluge (3237), ostvareni u iznosu od 170.600,65 EUR, što predstavlja povećanje od 204,1 % u odnosu na isto izvještajno razdoblje prethodne godine.</w:t>
      </w:r>
    </w:p>
    <w:p>
      <w:pPr>
        <w:jc w:val="both"/>
      </w:pPr>
      <w:r>
        <w:t xml:space="preserve"> </w:t>
      </w:r>
    </w:p>
    <w:p>
      <w:pPr>
        <w:jc w:val="both"/>
      </w:pPr>
      <w:r>
        <w:t xml:space="preserve">PRIHODI OD PRODAJE NEFINANCIJSKE IMOVINE</w:t>
      </w:r>
    </w:p>
    <w:p>
      <w:pPr>
        <w:jc w:val="both"/>
      </w:pPr>
      <w:r>
        <w:t xml:space="preserve">U razdoblju od 1. siječnja do 30. rujna 2026. godine prihodi od prodaje nefinancijske imovine ostvareni su u ukupnom iznosu od 1.528,53 EUR. Od navedenog iznosa, 168,53 EUR odnosi se na prihode od otkupa stanova iz 1992. godine, evidentirane na odjeljku 7211 – Stambeni objekti, dok se 1.360,00 EUR odnosi na prihode od prodaje rashodovane imovine, evidentirane na odjeljku 7221.</w:t>
      </w:r>
    </w:p>
    <w:p>
      <w:pPr>
        <w:jc w:val="both"/>
      </w:pPr>
      <w:r>
        <w:t xml:space="preserve"> </w:t>
      </w:r>
    </w:p>
    <w:p>
      <w:pPr>
        <w:jc w:val="both"/>
      </w:pPr>
      <w:r>
        <w:t xml:space="preserve">RASHODI ZA NABAVU NEFINANCIJSKE IMOVINE</w:t>
      </w:r>
    </w:p>
    <w:p>
      <w:pPr>
        <w:jc w:val="both"/>
      </w:pPr>
      <w:r>
        <w:t xml:space="preserve">Rashodi za nabavu nefinancijske imovine u izvještajnom razdoblju ostvareni su u ukupnom iznosu od 8.316.618,89 EUR, što predstavlja povećanje od 35,5 % u odnosu na isto razdoblje prethodne godine.</w:t>
      </w:r>
    </w:p>
    <w:p>
      <w:pPr>
        <w:jc w:val="both"/>
      </w:pPr>
      <w:r>
        <w:t xml:space="preserve">Najveći dio navedenih rashoda odnosi se na skupinu 45 – Rashodi za dodatna ulaganja na nefinancijskoj imovini, na kojoj su evidentirani rashodi u ukupnom iznosu od 6.339.376,73 EUR.</w:t>
      </w:r>
    </w:p>
    <w:p>
      <w:pPr>
        <w:jc w:val="both"/>
      </w:pPr>
      <w:r>
        <w:t xml:space="preserve">Od navedenog iznosa, 6.270.894,30 EUR odnosi se na dodatna ulaganja na građevinskim objektima u okviru obnove i sanacije „Stare zgrade” Bolnice, dok se preostalih 68.482,43 EUR odnosi na ostala dodatna ulaganja na građevinskim objektima te dodatna ulaganja na medicinskoj opremi.</w:t>
      </w:r>
    </w:p>
    <w:p>
      <w:pPr>
        <w:jc w:val="both"/>
      </w:pPr>
      <w:r>
        <w:t xml:space="preserve">Rashodi za nabavu neproizvedene dugotrajne imovine, evidentirani na skupini 41, ostvareni su u iznosu od 37.590,88 EUR i u cijelosti se odnose na nabavu računalnih licenci. U odnosu na isto izvještajno razdoblje prethodne godine povećani su za 487,9 %.</w:t>
      </w:r>
    </w:p>
    <w:p>
      <w:pPr>
        <w:jc w:val="both"/>
      </w:pPr>
      <w:r>
        <w:t xml:space="preserve">Rashodi za nabavu proizvedene dugotrajne imovine, evidentirani na skupini 42, ostvareni su u ukupnom iznosu od 1.939.651,28 EUR, što predstavlja povećanje od 401,2 % u odnosu na isto razdoblje prethodne godine.</w:t>
      </w:r>
    </w:p>
    <w:p>
      <w:pPr>
        <w:jc w:val="both"/>
      </w:pPr>
      <w:r>
        <w:t xml:space="preserve">Najznačajniji dio navedenih rashoda odnosi se na nabavu postrojenja i opreme, u ukupnom iznosu od 1.912.426,28 EUR, unutar koje se posebno izdvajaju rashodi za medicinsku i laboratorijsku opremu u iznosu od 1.552.655,59 EUR, što predstavlja povećanje od 608,2 % u odnosu na isto izvještajno razdoblje prethodne godine.</w:t>
      </w:r>
    </w:p>
    <w:p>
      <w:pPr>
        <w:jc w:val="both"/>
      </w:pPr>
      <w:r>
        <w:t xml:space="preserve">Navedena ulaganja obuhvaćaju nabavu medicinske i laboratorijske opreme u okviru opremanja obnovljene „Stare zgrade” Bolnice te zamjene dotrajale medicinske opreme, kao i nabavu računala, računalne i komunikacijske opreme, televizora za pacijente, dvaju klimatizacijskih uređaja, namještaja i ostale opreme potrebne za redovno obavljanje zdravstvene djelatnosti.</w:t>
      </w:r>
    </w:p>
    <w:p>
      <w:pPr>
        <w:jc w:val="both"/>
      </w:pPr>
      <w:r>
        <w:t xml:space="preserve">Dio ulaganja odnosi se na prilagodbu i integraciju bolničkog informacijskog sustava sa središnjim dijelovima programskih sustava nabavljenih kroz projekte Nacionalnog plana oporavka i otpornosti 2021. – 2026., implementaciju programskih rješenja u okviru obveza Fiskalizacije 2.0 te ostalu nabavu računalne opreme i programa potrebnih za redovno poslovanje Bolnice.</w:t>
      </w:r>
    </w:p>
    <w:p>
      <w:pPr>
        <w:jc w:val="both"/>
      </w:pPr>
      <w:r>
        <w:t xml:space="preserve">U okviru rashoda za nabavu proizvedene dugotrajne imovine evidentirana su i ulaganja u računalne programe (odjeljak 4262) u iznosu od 27.225,00 EUR, dok u istom izvještajnom razdoblju prethodne godine rashodi po navedenoj osnovi nisu bili evidentirani.</w:t>
      </w:r>
    </w:p>
    <w:p>
      <w:pPr>
        <w:jc w:val="both"/>
      </w:pPr>
      <w:r>
        <w:t xml:space="preserve"> </w:t>
      </w:r>
    </w:p>
    <w:p>
      <w:pPr>
        <w:jc w:val="both"/>
      </w:pPr>
      <w:r>
        <w:t xml:space="preserve">PRIMICI I IZDACI OD FINANCIJSKE IMOVINE I ZADUŽIVANJA</w:t>
      </w:r>
    </w:p>
    <w:p>
      <w:pPr>
        <w:jc w:val="both"/>
      </w:pPr>
      <w:r>
        <w:t xml:space="preserve">U izvještajnom razdoblju od 1. siječnja do 30. rujna 2026. godine nisu ostvareni primici ni izdaci od financijske imovine i zaduživanja.</w:t>
      </w:r>
    </w:p>
    <w:p>
      <w:pPr>
        <w:jc w:val="both"/>
      </w:pPr>
      <w:r>
        <w:t xml:space="preserve"> </w:t>
      </w:r>
    </w:p>
    <w:p>
      <w:pPr>
        <w:jc w:val="both"/>
      </w:pPr>
      <w:r>
        <w:t xml:space="preserve">REZULTAT POSLOVANJA</w:t>
      </w:r>
    </w:p>
    <w:p>
      <w:pPr>
        <w:jc w:val="both"/>
      </w:pPr>
      <w:r>
        <w:t xml:space="preserve">Slijedom ostvarenih prihoda i rashoda, u razdoblju od 1. siječnja do 30. rujna 2026. godine ostvaren je sljedeći financijski rezultat:</w:t>
      </w:r>
    </w:p>
    <w:p>
      <w:pPr>
        <w:jc w:val="both"/>
      </w:pPr>
      <w:r>
        <w:t xml:space="preserve">Višak prihoda poslovanja u iznosu od 7.656.239,72 EUR.</w:t>
      </w:r>
      <w:r>
        <w:br/>
      </w:r>
      <w:r>
        <w:t xml:space="preserve">Manjak prihoda od nefinancijske imovine u iznosu od 8.315.090,36 EUR.</w:t>
      </w:r>
      <w:r>
        <w:br/>
      </w:r>
      <w:r>
        <w:t xml:space="preserve">Sukladno navedenom, ukupan manjak prihoda izvještajnog razdoblja iznosi 658.850,64 EUR.</w:t>
      </w:r>
    </w:p>
    <w:p>
      <w:pPr>
        <w:jc w:val="both"/>
      </w:pPr>
      <w:r>
        <w:t xml:space="preserve">U odnosu na isto izvještajno razdoblje prethodne godine, kada je ostvaren manjak prihoda u iznosu od 7.220.720,90 EUR, manjak tekućeg razdoblja smanjen je za 90,9 %, odnosno za 6.561.870,26 EUR.</w:t>
      </w:r>
    </w:p>
    <w:p>
      <w:pPr>
        <w:jc w:val="both"/>
      </w:pPr>
      <w:r>
        <w:t xml:space="preserve">Pri tumačenju ostvarenog financijskog rezultata potrebno je posebno istaknuti značajan utjecaj poslovnih promjena povezanih s provedbom projekta FSEU – Sanacija štete od potresa na „Staroj zgradi” Bolnice, osobito evidentiranja prihoda temeljem prijenosa EU sredstava, sredstava nadležnog proračuna osiguranih za premošćivanje plaćanja obveza te rashoda povezanih s obnovom i kapitalnim prijenosima.</w:t>
      </w:r>
    </w:p>
    <w:p>
      <w:pPr>
        <w:jc w:val="both"/>
      </w:pPr>
      <w:r>
        <w:t xml:space="preserve">Navedene poslovne promjene značajno utječu na visinu iskazanih prihoda i rashoda te na usporedivost financijskih rezultata između izvještajnih razdoblja.</w:t>
      </w:r>
    </w:p>
    <w:p>
      <w:pPr>
        <w:jc w:val="both"/>
      </w:pPr>
      <w:r>
        <w:t xml:space="preserve">Ukupan manjak prihoda i primitaka za pokriće u sljedećem razdoblju iznosi 17.010.933,56 EUR, što predstavlja smanjenje od 0,3 % u odnosu na isto izvještajno razdoblje prethodne godine.</w:t>
      </w:r>
    </w:p>
    <w:p>
      <w:pPr>
        <w:jc w:val="both"/>
      </w:pPr>
      <w:r>
        <w:t xml:space="preserve"> </w:t>
      </w:r>
    </w:p>
    <w:p>
      <w:pPr>
        <w:jc w:val="both"/>
      </w:pPr>
      <w:r>
        <w:t xml:space="preserve">OBRAČUNATI PRIHODI POSLOVANJA – NENAPLAĆENI </w:t>
      </w:r>
    </w:p>
    <w:p>
      <w:pPr>
        <w:jc w:val="both"/>
      </w:pPr>
      <w:r>
        <w:t xml:space="preserve">Obračunati prihodi poslovanja – nenaplaćeni na dan 30. rujna 2026. godine iznose 4.217.711,02 EUR, što predstavlja povećanje od 319,2 % u odnosu na isto izvještajno razdoblje prethodne godine.</w:t>
      </w:r>
    </w:p>
    <w:p>
      <w:pPr>
        <w:jc w:val="both"/>
      </w:pPr>
      <w:r>
        <w:t xml:space="preserve">Najveći dio navedenih prihoda odnosi se na:</w:t>
      </w:r>
    </w:p>
    <w:p>
      <w:pPr>
        <w:jc w:val="both"/>
      </w:pPr>
      <w:r>
        <w:t xml:space="preserve">Obračunate prihode temeljem pomoći iz državnog proračuna na osnovi prijenosa EU sredstava u iznosu od 2.787.763,78 EUR temeljem potraživanja po podnesenom Zahtjevu za nadoknadu sredstava br. 19 u okviru projekta FSEU obnove Stare zgrade</w:t>
      </w:r>
      <w:r>
        <w:br/>
      </w:r>
      <w:r>
        <w:t xml:space="preserve">Obračunate prihode od HZZO-a po osnovi dopunskog zdravstvenog osiguranja u iznosu od 835.837,88 EUR.</w:t>
      </w:r>
      <w:r>
        <w:br/>
      </w:r>
      <w:r>
        <w:t xml:space="preserve">Obračunate prihode od HZZO-a na temelju ugovornih obveza i Ministarstva zdravstva za pružanje zdravstvene zaštite osobama iz Ukrajine u ukupnom iznosu od 321.146,01 EUR.</w:t>
      </w:r>
      <w:r>
        <w:br/>
      </w:r>
      <w:r>
        <w:t xml:space="preserve">Obračunate prihode od prodaje proizvoda i pruženih usluga u iznosu od 201.842,59 EUR.</w:t>
      </w:r>
      <w:r>
        <w:br/>
      </w:r>
      <w:r>
        <w:t xml:space="preserve">Preostali iznos od 71.120,76 EUR odnosi se na ostale obračunate nenaplaćene prihode poslovanja.</w:t>
      </w:r>
    </w:p>
    <w:p>
      <w:pPr>
        <w:jc w:val="both"/>
      </w:pPr>
      <w:r>
        <w:t xml:space="preserve"> </w:t>
      </w:r>
    </w:p>
    <w:p>
      <w:pPr>
        <w:jc w:val="both"/>
      </w:pPr>
      <w:r>
        <w:t xml:space="preserve">OBRAČUNATI PRIHODI OD PRODAJE NEFINANCIJSKE IMOVINE - NENAPLAĆENI</w:t>
      </w:r>
    </w:p>
    <w:p>
      <w:pPr>
        <w:jc w:val="both"/>
      </w:pPr>
      <w:r>
        <w:t xml:space="preserve">Obračunati prihodi od prodaje nefinancijske imovine – nenaplaćeni na dan 30. rujna 2026. iznose 11.396,77 EUR i odnose se na nenaplaćeni obračunate prihode po osnovi prodaje stanova iz 1992. i temeljem potraživanja od Zagrebačke banke po osnovi kredita za otkup stanova.</w:t>
      </w:r>
    </w:p>
    <w:p>
      <w:pPr>
        <w:jc w:val="both"/>
      </w:pPr>
      <w:r>
        <w:t xml:space="preserve"> </w:t>
      </w:r>
    </w:p>
    <w:p>
      <w:pPr>
        <w:jc w:val="both"/>
      </w:pPr>
      <w:r>
        <w:t xml:space="preserve">Primljeni predujmovi HZZO-a i njihov utjecaj na financijski rezultat</w:t>
      </w:r>
    </w:p>
    <w:p>
      <w:pPr>
        <w:jc w:val="both"/>
      </w:pPr>
      <w:r>
        <w:t xml:space="preserve">U izvještajnom razdoblju od 1. siječnja do 30. rujna 2026. godine uplate HZZO-a u visini neizvršenih usluga iznose 341.568,85 EUR.</w:t>
      </w:r>
    </w:p>
    <w:p>
      <w:pPr>
        <w:jc w:val="both"/>
      </w:pPr>
      <w:r>
        <w:t xml:space="preserve">Sukladno uputi Ministarstva financija i Ministarstva zdravstva od 24. rujna 2020. godine, navedena sredstva evidentirana su na poziciji obveza za primljene predujmove, a ne kao prihodi izvještajnog razdoblja.</w:t>
      </w:r>
    </w:p>
    <w:p>
      <w:pPr>
        <w:jc w:val="both"/>
      </w:pPr>
      <w:r>
        <w:t xml:space="preserve">Radi potpunijeg sagledavanja utjecaja navedenog načina računovodstvenog evidentiranja na financijski rezultat, ističe se da bi, u slučaju priznavanja navedenih sredstava kao prihoda, uz nepromijenjene ostale stavke, manjak prihoda i primitaka iznosio 317.281,79 EUR, umjesto iskazanih 658.850,64 EUR. Navedeni izračun predstavlja hipotetski prikaz utjecaja primljenih predujmova na financijski rezultat.</w:t>
      </w:r>
    </w:p>
    <w:p>
      <w:r>
        <w:br/>
      </w:r>
    </w:p>
    <w:p>
      <w:pPr>
        <w:jc w:val="center"/>
        <w:pStyle w:val="Normal"/>
        <w:spacing w:line="240" w:lineRule="auto"/>
        <w:keepNext/>
      </w:pPr>
      <w:r>
        <w:rPr>
          <w:sz w:val="28"/>
          <w:rFonts w:ascii="Times New Roman" w:hAnsi="Times New Roman"/>
        </w:rPr>
        <w:t xml:space="preserve">Bilješka 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POSLOVANJA (šifre 61+62+63+64+65+66+67+68)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21.420.133,47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34.666.355,22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161,8</w:t>
            </w:r>
          </w:p>
        </w:tc>
      </w:tr>
    </w:tbl>
    <w:p>
      <w:pPr>
        <w:spacing w:before="0" w:after="0"/>
      </w:pPr>
    </w:p>
    <w:p>
      <w:r>
        <w:t xml:space="preserve">U razdoblju od 1. siječnja do 30. rujna 2026. godine prihodi poslovanja ostvareni su u ukupnom iznosu od 34.666.355,22 EUR, što predstavlja povećanje od 61,8 % u odnosu na isto izvještajno razdoblje prethodne godine.</w:t>
      </w:r>
    </w:p>
    <w:p>
      <w:r>
        <w:t xml:space="preserve">Najznačajnije povećanje prihoda poslovanja evidentirano je na skupini 63 – Pomoći iz inozemstva i od subjekata unutar općeg proračuna, na kojoj su ostvareni prihodi u ukupnom iznosu od 6.849.022,56 EUR, što predstavlja povećanje od 874,4 % u odnosu na isto razdoblje prethodne godine.</w:t>
      </w:r>
    </w:p>
    <w:p>
      <w:r>
        <w:t xml:space="preserve">Najveći dio navedenih prihoda, u iznosu od 6.324.905,73 EUR, evidentiran je na odjeljku 6382 – Kapitalne pomoći temeljem prijenosa EU sredstava, a odnosi se na prihode ostvarene u okviru projekta FSEU – Sanacija štete od potresa na „Staroj zgradi” Specijalne bolnice za medicinsku rehabilitaciju Krapinske Toplice, temeljem podnesenih zahtjeva za nadoknadu sredstava br. 16, 17 i 18. U istom izvještajnom razdoblju prethodne godine prihodi po navedenoj osnovi nisu bili evidentirani.</w:t>
      </w:r>
    </w:p>
    <w:p>
      <w:r>
        <w:t xml:space="preserve">Na odjeljku 6341 – Tekuće pomoći od izvanproračunskih korisnika ostvareni su prihodi u iznosu od 145.198,21 EUR, temeljem tekućih pomoći HZZO-a za refundaciju plaća pripravnika. U istom izvještajnom razdoblju prethodne godine po ovoj je osnovi ostvareno 616,55 EUR, što predstavlja značajno povećanje prihoda.</w:t>
      </w:r>
    </w:p>
    <w:p>
      <w:r>
        <w:t xml:space="preserve">Značajno povećanje evidentirano je i na podskupini 671 – Prihodi iz nadležnog proračuna za financiranje redovne djelatnosti proračunskih korisnika, na kojoj su ostvareni prihodi u ukupnom iznosu od 4.659.870,52 EUR, odnosno 341,6 % više u odnosu na isto izvještajno razdoblje prethodne godine.</w:t>
      </w:r>
    </w:p>
    <w:p>
      <w:r>
        <w:t xml:space="preserve">Od navedenog iznosa, na odjeljak 6712 – Prihodi iz nadležnog proračuna za financiranje rashoda za nabavu nefinancijske imovine odnosi se ukupno 4.374.962,40 EUR, što predstavlja povećanje od 391,1 % u odnosu na isto razdoblje prethodne godine.</w:t>
      </w:r>
    </w:p>
    <w:p>
      <w:r>
        <w:t xml:space="preserve">Najveći dio prihoda na navedenom odjeljku (kto 6712 104), u iznosu od 2.939.149,88 EUR, odnosi se na sredstva nadležnog proračuna osigurana za premošćivanje plaćanja obveza prema dobavljačima u okviru projekta FSEU – Sanacija štete od potresa na „Staroj zgradi” Bolnice (veza rashodi na odjeljku 3694)</w:t>
      </w:r>
    </w:p>
    <w:p>
      <w:r>
        <w:t xml:space="preserve">Preostali dio prihoda na odjeljku 6712 (kto 6712 103) odnosi se na sredstva nadležnog proračuna za financiranje nabave nefinancijske imovine u iznosu od 1.417.075,02 EUR, te na decentralizirana sredstva za nabavu nefinancijske imovine u iznosu od 18.737,50 EUR.</w:t>
      </w:r>
    </w:p>
    <w:p>
      <w:r>
        <w:t xml:space="preserve">Na odjeljku 6711 – Prihodi iz nadležnog proračuna za financiranje rashoda poslovanja ostvareni su prihodi u iznosu od 284.908,12 EUR, što predstavlja povećanje od 73,3 % u odnosu na isto izvještajno razdoblje prethodne godine. Od navedenog iznosa, 188.386,40 EUR odnosi se na decentralizirana sredstva za redovno poslovanje, dok se 96.521,72 EUR odnosi na sredstva nadležnog proračuna za financiranje redovnog poslovanja Bolnice.</w:t>
      </w:r>
    </w:p>
    <w:p>
      <w:r>
        <w:t xml:space="preserve">Prihodi od HZZO-a na temelju ugovornih obveza, evidentirani na podskupini 673, ostvareni su u iznosu od 17.296.575,14 EUR, što predstavlja povećanje od 21,4 % u odnosu na isto izvještajno razdoblje prethodne godine.</w:t>
      </w:r>
    </w:p>
    <w:p>
      <w:r>
        <w:t xml:space="preserve">Istodobno je evidentirano smanjenje prihoda na podskupini 636 – Pomoći proračunskim korisnicima iz proračuna koji im nije nadležan, za 46,0 % u odnosu na isto razdoblje prethodne godine. Najznačajnije smanjenje odnosi se na kapitalne pomoći, koje su sa 186.098,90 EUR smanjene na 23.730,00 EUR, odnosno za 87,2 %.</w:t>
      </w:r>
    </w:p>
    <w:p>
      <w:r>
        <w:t xml:space="preserve">Ukupno povećanje prihoda poslovanja u izvještajnom razdoblju najvećim je dijelom povezano s prihodima temeljem prijenosa EU sredstava i financiranjem iz nadležnog proračuna u okviru projekta obnove „Stare zgrade” Bolnice, uz istodobno povećanje prihoda od HZZO-a na temelju ugovornih obveza. Navedene okolnosti potrebno je uzeti u obzir pri usporedbi ostvarenih prihoda s prethodnim izvještajnim razdobljem.</w:t>
      </w:r>
    </w:p>
    <w:p>
      <w:r>
        <w:t xml:space="preserve"> </w:t>
      </w:r>
    </w:p>
    <w:p/>
    <w:p>
      <w:pPr>
        <w:jc w:val="center"/>
        <w:pStyle w:val="Normal"/>
        <w:spacing w:line="240" w:lineRule="auto"/>
        <w:keepNext/>
      </w:pPr>
      <w:r>
        <w:rPr>
          <w:sz w:val="28"/>
          <w:rFonts w:ascii="Times New Roman" w:hAnsi="Times New Roman"/>
        </w:rPr>
        <w:t xml:space="preserve">Bilješka 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Tekuće pomoći od izvanproračunskih korisnika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616,55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145.198,21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&gt;&gt;100</w:t>
            </w:r>
          </w:p>
        </w:tc>
      </w:tr>
    </w:tbl>
    <w:p>
      <w:pPr>
        <w:spacing w:before="0" w:after="0"/>
      </w:pPr>
    </w:p>
    <w:p>
      <w:r>
        <w:t xml:space="preserve">U periodu od I – IX. 2026. temeljem Ugovora s HZZO pripravnički staž u našoj ustanovi obavljalo je ukupno 13 pripravnika te su evidentirani su prihodi po osnovi tekuće pomoći od HZZO-a za refundaciju plaće pripravnika u iznosu od 145.198,21 EUR prihoda. U istom izvještajnom razdoblju prošle godine evidentirano je 616,55 EUR prihoda po navedenoj osnovi.</w:t>
      </w:r>
    </w:p>
    <w:p/>
    <w:p>
      <w:pPr>
        <w:jc w:val="center"/>
        <w:pStyle w:val="Normal"/>
        <w:spacing w:line="240" w:lineRule="auto"/>
        <w:keepNext/>
      </w:pPr>
      <w:r>
        <w:rPr>
          <w:sz w:val="28"/>
          <w:rFonts w:ascii="Times New Roman" w:hAnsi="Times New Roman"/>
        </w:rPr>
        <w:t xml:space="preserve">Bilješka 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Pomoći proračunskim korisnicima iz proračuna koji im nije nadležan (šifre 6361+6362)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702.280,54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378.918,62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54,0</w:t>
            </w:r>
          </w:p>
        </w:tc>
      </w:tr>
    </w:tbl>
    <w:p>
      <w:pPr>
        <w:spacing w:before="0" w:after="0"/>
      </w:pPr>
    </w:p>
    <w:p>
      <w:r>
        <w:t xml:space="preserve">Podskupina prihoda 636 bilježi smanjenje za 46% u odnosu na isto izvještajno razdoblje prošle godine. Prihodi na odjeljku 6361 - Tekuće pomoći proračunskim korisnicima iz proračuna koji nije nadležan na kojem su evidentirani prihodi namjenske pomoći Ministarstva zdravstva za podmirenje obveza za lijekove i medicinski potrošni materijal u iznosu 265.960,00 EUR te tekuće pomoći temeljem Uredbe Vlade u troškovima isporuke električne energije u ukupnom iznosu 89.228,62 EUR. U istom izvještajnom razdoblju prošle godine na navedenoj je poziciji bilježen prihod od strane Ministarstva zdravstva po osnovi namjenskih sredstava za podmirenje obveza prema dobavljačima lijekova i medicinskog potrošnog i ugradbenog materijala u ukupnoj vrijednosti 374.514,00 EUR te tekuće pomoći temeljem Uredbe Vlade u troškovima isporuke električne energije u ukupnom iznosu 141.667,64 EUR.</w:t>
      </w:r>
    </w:p>
    <w:p>
      <w:r>
        <w:t xml:space="preserve">Prihodi na odjeljku 6362 – Kapitalne pomoći korisnicima iz proračuna koji im nije nadležan u izvještajnom razdoblju ove godine iznose 23.730,00 EUR – kapitalne pomoći Ministarstva zdravstva po Ugovoru o dodjeli potpore male vrijednosti za financijsku potporu projekta pod nazivom "Toplička revitalizacija" te pomoći državnog proračuna za troškove prilagodbe informatičkog sustava.  U istom izvještajnom razdoblju prošle godine evidentiran prihod u iznosu 186.098,90 EUR po podnesenom zahtjevu za nadoknadu sredstava broj 13. Navedeno je razlog značajnijem odstupanju prihoda na ovoj poziciji.</w:t>
      </w:r>
    </w:p>
    <w:p/>
    <w:p>
      <w:pPr>
        <w:jc w:val="center"/>
        <w:pStyle w:val="Normal"/>
        <w:spacing w:line="240" w:lineRule="auto"/>
        <w:keepNext/>
      </w:pPr>
      <w:r>
        <w:rPr>
          <w:sz w:val="28"/>
          <w:rFonts w:ascii="Times New Roman" w:hAnsi="Times New Roman"/>
        </w:rPr>
        <w:t xml:space="preserve">Bilješka 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Kapitalne pomoći temeljem prijenosa EU sredstava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6382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6.324.905,73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Navedeni prihodi odnose se na kapitalne pomoći iz državnog proračuna temeljem prijenosa EU sredstava - Fonda solidarnosti Europske unije u svrhu sanacije štete od potresa na „Staroj zgradi” Bolnice, Ugovor broj FSEU.2022.MZ.022  temeljem podnijetih zahtjeva za nadoknadu sredstava broj 16., 17. i 18. te je u izvještajnom razdoblju I – IX. 2026. evidentiran prihod u ukupnom iznosu 6.324.905,73 EUR. U istom izvještajnom razdoblju u 2025. godini nije bilo evidentiranih prihoda na ovom odjeljku prihoda.</w:t>
      </w:r>
    </w:p>
    <w:p/>
    <w:p>
      <w:pPr>
        <w:jc w:val="center"/>
        <w:pStyle w:val="Normal"/>
        <w:spacing w:line="240" w:lineRule="auto"/>
        <w:keepNext/>
      </w:pPr>
      <w:r>
        <w:rPr>
          <w:sz w:val="28"/>
          <w:rFonts w:ascii="Times New Roman" w:hAnsi="Times New Roman"/>
        </w:rPr>
        <w:t xml:space="preserve">Bilješka 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Kamate na oročena sredstva i depozite po viđenju</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992,41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253,88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25,6</w:t>
            </w:r>
          </w:p>
        </w:tc>
      </w:tr>
    </w:tbl>
    <w:p>
      <w:pPr>
        <w:spacing w:before="0" w:after="0"/>
      </w:pPr>
    </w:p>
    <w:p>
      <w:r>
        <w:t xml:space="preserve">Tijekom izvještajnog razdoblja u 2026. godini evidentirani su prihodi po osnovi kamate na sredstva po viđenju u ukupnom iznosu 253,88 EUR, dok je u istom razdoblju 2025. godine po navedenoj osnovi ostvareno 992,41 EUR. Vrijednost isplaćene kamate ovisila je o stanju transakcijskog računa u trenutku obračuna te kamatnoj stopi koja je u 2025. godini održavana na razini od 0,04% (primjena je stupila na snagu u travnju i prosincu 2025.), a u ranijem razdoblju od 0,10%. Od 1. travnja 2026. dodatno se smanjuje na 0,01%.</w:t>
      </w:r>
    </w:p>
    <w:p/>
    <w:p>
      <w:pPr>
        <w:jc w:val="center"/>
        <w:pStyle w:val="Normal"/>
        <w:spacing w:line="240" w:lineRule="auto"/>
        <w:keepNext/>
      </w:pPr>
      <w:r>
        <w:rPr>
          <w:sz w:val="28"/>
          <w:rFonts w:ascii="Times New Roman" w:hAnsi="Times New Roman"/>
        </w:rPr>
        <w:t xml:space="preserve">Bilješka 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zateznih kamata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6414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416,05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w:t>
            </w:r>
          </w:p>
        </w:tc>
      </w:tr>
    </w:tbl>
    <w:p>
      <w:pPr>
        <w:spacing w:before="0" w:after="0"/>
      </w:pPr>
    </w:p>
    <w:p>
      <w:r>
        <w:t xml:space="preserve">U 2025. godini tijekom postupka prisilne naplate potraživanja evidentirani su prihodi po osnovi obračunatih zateznih kamata u ukupnom iznosu 416,05 EUR.  U istom izvještajnom razdoblju ove godine, ostvareno je ukupno 33,50 EUR što je smanjenje za 91,9%.</w:t>
      </w:r>
    </w:p>
    <w:p/>
    <w:p>
      <w:pPr>
        <w:jc w:val="center"/>
        <w:pStyle w:val="Normal"/>
        <w:spacing w:line="240" w:lineRule="auto"/>
        <w:keepNext/>
      </w:pPr>
      <w:r>
        <w:rPr>
          <w:sz w:val="28"/>
          <w:rFonts w:ascii="Times New Roman" w:hAnsi="Times New Roman"/>
        </w:rPr>
        <w:t xml:space="preserve">Bilješka 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Ostale pristojbe i naknade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187,50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64,82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34,6</w:t>
            </w:r>
          </w:p>
        </w:tc>
      </w:tr>
    </w:tbl>
    <w:p>
      <w:pPr>
        <w:spacing w:before="0" w:after="0"/>
      </w:pPr>
    </w:p>
    <w:p>
      <w:r>
        <w:t xml:space="preserve">U 2026. godini po osnovi ostalih pristojbi i naknada ostvareno je 64,82 EUR prihoda. Tijekom postupka prisilne naplate potraživanja evidentirani su prihodi po osnovi refundacije troškova postupka ovrhe koji iznose ukupno 25,00 EUR. Veza navedenog prihoda jest račun rashoda 3295 – Javnobilježničke pristojbe gdje se knjiži navedeni trošak prilikom plaćanja računa javnom bilježniku za provođenje postupka prisilne naplate. U protekloj godini po osnovi ostalih pristojbi i naknada ostvareno je ukupno 187,50 EUR prihoda što je smanjenje za 65,4% u ovoj godini.</w:t>
      </w:r>
    </w:p>
    <w:p/>
    <w:p>
      <w:pPr>
        <w:jc w:val="center"/>
        <w:pStyle w:val="Normal"/>
        <w:spacing w:line="240" w:lineRule="auto"/>
        <w:keepNext/>
      </w:pPr>
      <w:r>
        <w:rPr>
          <w:sz w:val="28"/>
          <w:rFonts w:ascii="Times New Roman" w:hAnsi="Times New Roman"/>
        </w:rPr>
        <w:t xml:space="preserve">Bilješka 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6526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2.470.336,27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2.831.787,17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114,6</w:t>
            </w:r>
          </w:p>
        </w:tc>
      </w:tr>
    </w:tbl>
    <w:p>
      <w:pPr>
        <w:spacing w:before="0" w:after="0"/>
      </w:pPr>
    </w:p>
    <w:p>
      <w:r>
        <w:t xml:space="preserve">Ostali nespomenuti prihodi povećani su za 14,6% najvećim dijelom uslijed rasta prihoda od HZZO dopunskog osiguranja koje u tekućem izvještajnom razdoblju ukupno iznosi 2.386.722,72 EUR, dok su isti u usporednom izvještajnom razdoblju iznosili 1.994.831 EUR.</w:t>
      </w:r>
    </w:p>
    <w:p/>
    <w:p>
      <w:pPr>
        <w:jc w:val="center"/>
        <w:pStyle w:val="Normal"/>
        <w:spacing w:line="240" w:lineRule="auto"/>
        <w:keepNext/>
      </w:pPr>
      <w:r>
        <w:rPr>
          <w:sz w:val="28"/>
          <w:rFonts w:ascii="Times New Roman" w:hAnsi="Times New Roman"/>
        </w:rPr>
        <w:t xml:space="preserve">Bilješka 10.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proizvoda i robe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132.595,24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170.706,66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128,7</w:t>
            </w:r>
          </w:p>
        </w:tc>
      </w:tr>
    </w:tbl>
    <w:p>
      <w:pPr>
        <w:spacing w:before="0" w:after="0"/>
      </w:pPr>
    </w:p>
    <w:p>
      <w:r>
        <w:t xml:space="preserve">Ostvarenje prihoda veće je za 28,7% u odnosu na prošlu godinu i ukupno iznosi 170.706,66 EUR. Prihodi iz odjeljka 6614 odnose se na prihode ostvarene prodajom proizvoda na šanku Bolnice, a povećanje prihoda rezultat je i usklađenja Cjenika pića i slastica sa nabavnim cijenama na tržištu i primjenom od 01.01.2026.</w:t>
      </w:r>
    </w:p>
    <w:p/>
    <w:p>
      <w:pPr>
        <w:jc w:val="center"/>
        <w:pStyle w:val="Normal"/>
        <w:spacing w:line="240" w:lineRule="auto"/>
        <w:keepNext/>
      </w:pPr>
      <w:r>
        <w:rPr>
          <w:sz w:val="28"/>
          <w:rFonts w:ascii="Times New Roman" w:hAnsi="Times New Roman"/>
        </w:rPr>
        <w:t xml:space="preserve">Bilješka 11.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Donacije od pravnih i fizičkih osoba izvan općeg proračuna te povrat donacija i kapitalnih pomoći po protestiranim jamstvima (šifre 6631 do 6634)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663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40.320,82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13.326,31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33,1</w:t>
            </w:r>
          </w:p>
        </w:tc>
      </w:tr>
    </w:tbl>
    <w:p>
      <w:pPr>
        <w:spacing w:before="0" w:after="0"/>
      </w:pPr>
    </w:p>
    <w:p>
      <w:r>
        <w:t xml:space="preserve">Donacije od pravnih i fizičkih osoba izvan općeg proračuna knjižene na podskupini prihoda 663 smanjene su za 66,9% u 2026. godini i iznose ukupno 13.326,31 EUR. Odnose se na tekuće donacije od fizičkih osoba u ukupnom iznosu 2.360,06 EUR, tekuće donacije od trgovačkih društava u ukupnom iznosu 3.784,93 EUR, kapitalnih donacija od neprofitnih organizacija u ukupnom iznosu 4.023,76 EUR te kapitalnih donacija od trgovačkih društava u ukupnom iznosu 3.157,56 EUR.</w:t>
      </w:r>
    </w:p>
    <w:p/>
    <w:p>
      <w:pPr>
        <w:jc w:val="center"/>
        <w:pStyle w:val="Normal"/>
        <w:spacing w:line="240" w:lineRule="auto"/>
        <w:keepNext/>
      </w:pPr>
      <w:r>
        <w:rPr>
          <w:sz w:val="28"/>
          <w:rFonts w:ascii="Times New Roman" w:hAnsi="Times New Roman"/>
        </w:rPr>
        <w:t xml:space="preserve">Bilješka 12.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poslovanja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164.379,80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284.908,12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173,3</w:t>
            </w:r>
          </w:p>
        </w:tc>
      </w:tr>
    </w:tbl>
    <w:p>
      <w:pPr>
        <w:spacing w:before="0" w:after="0"/>
      </w:pPr>
    </w:p>
    <w:p>
      <w:r>
        <w:t xml:space="preserve">Prihodi iz nadležnog proračuna za financiranje rashoda poslovanja u izvještajnom razdoblju bilieže ukupno 284.908,12 EUR i bilježe povećanje za 73,3%. Odnose se na pomoći KZŽ za redovno poslovanje – decentralizirana sredstva u ukupnom iznosu 188.386,40 EUR (povećanje za 38,2% u odnosu na prošlu godinu) te pomoći nadležnog proračuna za redovno poslovanje u iznosu 96.521,72 EUR (povećanje za 243,9% u odnosu na prošlu godinu)</w:t>
      </w:r>
    </w:p>
    <w:p/>
    <w:p>
      <w:pPr>
        <w:jc w:val="center"/>
        <w:pStyle w:val="Normal"/>
        <w:spacing w:line="240" w:lineRule="auto"/>
        <w:keepNext/>
      </w:pPr>
      <w:r>
        <w:rPr>
          <w:sz w:val="28"/>
          <w:rFonts w:ascii="Times New Roman" w:hAnsi="Times New Roman"/>
        </w:rPr>
        <w:t xml:space="preserve">Bilješka 13.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iz nadležnog proračuna za financiranje rashoda za nabavu nefinancijske imovine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890.764,17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4.374.962,40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491,1</w:t>
            </w:r>
          </w:p>
        </w:tc>
      </w:tr>
    </w:tbl>
    <w:p>
      <w:pPr>
        <w:spacing w:before="0" w:after="0"/>
      </w:pPr>
    </w:p>
    <w:p>
      <w:r>
        <w:t xml:space="preserve">U odnosu na 2025. navedeni prihodi veći su za 391,1%.  U 2025. godini ostvareni su prihodi od nadležnog proračuna za nabavu nefinancijske imovine u iznosu 61.536,25 EUR, prihodi od  decentraliziranih sredstava za nabavu nefinancijske imovine u vrijednosti 137.790,00 EUR te prihodi nadležnog proračuna za premošćivanje plaćanja obveza u okviru projekta FSEU u iznosu 691.437,92 EUR.</w:t>
      </w:r>
    </w:p>
    <w:p>
      <w:r>
        <w:t xml:space="preserve">Tijekom 2026. godine ostvareno je 1.417.075,02 EUR prihoda od nadležnog proračuna za nabavu nefinancijske imovine, 18.737,50 EUR prihoda po osnovi decentraliziranih sredstava za nabavu nefinancijske imovine te prihodi od nadležnog za premošćivanje plaćanja obveza po u okviru projekta FSEU u iznosu 2.939.149,88 EUR.</w:t>
      </w:r>
    </w:p>
    <w:p>
      <w:r>
        <w:t xml:space="preserve"> </w:t>
      </w:r>
    </w:p>
    <w:p/>
    <w:p>
      <w:pPr>
        <w:jc w:val="center"/>
        <w:pStyle w:val="Normal"/>
        <w:spacing w:line="240" w:lineRule="auto"/>
        <w:keepNext/>
      </w:pPr>
      <w:r>
        <w:rPr>
          <w:sz w:val="28"/>
          <w:rFonts w:ascii="Times New Roman" w:hAnsi="Times New Roman"/>
        </w:rPr>
        <w:t xml:space="preserve">Bilješka 14.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HZZO-a na temelju ugovornih obveza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14.251.392,97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17.296.575,14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121,4</w:t>
            </w:r>
          </w:p>
        </w:tc>
      </w:tr>
    </w:tbl>
    <w:p>
      <w:pPr>
        <w:spacing w:before="0" w:after="0"/>
      </w:pPr>
    </w:p>
    <w:p>
      <w:r>
        <w:t xml:space="preserve">Prihodi od HZZO-a na temelju ugovornih obveza u izvještajnom razdoblju bilježe povećanje za 21,4% te iznose ukupno 17.296.575,14 EUR. Povećanje bilježe prihodi po svim vrstama ugovornih obveza. Na stavci u okviru konta 6731 114 prihodi od Ministarstva zdravstva za pružanje zdravstvene zaštite osobama iz Ukrajine ostvareno je ukupno 5.215,68 EUR prihoda i time bilježi smanjenje za 89,2%.</w:t>
      </w:r>
    </w:p>
    <w:p/>
    <w:p>
      <w:pPr>
        <w:jc w:val="center"/>
        <w:pStyle w:val="Normal"/>
        <w:spacing w:line="240" w:lineRule="auto"/>
        <w:keepNext/>
      </w:pPr>
      <w:r>
        <w:rPr>
          <w:sz w:val="28"/>
          <w:rFonts w:ascii="Times New Roman" w:hAnsi="Times New Roman"/>
        </w:rPr>
        <w:t xml:space="preserve">Bilješka 15.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prihodi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683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22.914,38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26.111,46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114,0</w:t>
            </w:r>
          </w:p>
        </w:tc>
      </w:tr>
    </w:tbl>
    <w:p>
      <w:pPr>
        <w:spacing w:before="0" w:after="0"/>
      </w:pPr>
    </w:p>
    <w:p>
      <w:r>
        <w:t xml:space="preserve">Prihodi na skupini 683 u odnosu na isto izvještajno razdoblje prošle godine porasli su za 14%. Navedeno se odnosi na odjeljak 6831 – Ostali prihodi koji bilježe iznos od 26.111,46 EUR. Na ovoj su poziciji tijekom 2026. evidentirani prihodi od uplata iznad iznosa potraživanja, prihodi temeljem izrade sitnog inventara u vlastitoj radioni, prihoda po utvrđenim viškovima po inventuri, prihodi temeljem ugovora sa tvrtkom Benefit Systems, prihodi od ostvarenih rabata i odobrenja, prihodi od zadržanih jamstava te ostali prihodi.</w:t>
      </w:r>
    </w:p>
    <w:p/>
    <w:p>
      <w:pPr>
        <w:jc w:val="center"/>
        <w:pStyle w:val="Normal"/>
        <w:spacing w:line="240" w:lineRule="auto"/>
        <w:keepNext/>
      </w:pPr>
      <w:r>
        <w:rPr>
          <w:sz w:val="28"/>
          <w:rFonts w:ascii="Times New Roman" w:hAnsi="Times New Roman"/>
        </w:rPr>
        <w:t xml:space="preserve">Bilješka 16.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POSLOVANJA (šifre 31+32+34+35+36+37+38)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22.503.438,31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27.010.115,50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w:t>
            </w:r>
          </w:p>
        </w:tc>
      </w:tr>
    </w:tbl>
    <w:p>
      <w:pPr>
        <w:spacing w:before="0" w:after="0"/>
      </w:pPr>
    </w:p>
    <w:p>
      <w:r>
        <w:t xml:space="preserve">U razdoblju od 1. siječnja do 30. rujna 2026. godine rashodi poslovanja ostvareni su u ukupnom iznosu od 27.010.115,50 EUR, što predstavlja povećanje od 20,0 % u odnosu na isto izvještajno razdoblje prethodne godine.</w:t>
      </w:r>
    </w:p>
    <w:p>
      <w:r>
        <w:t xml:space="preserve">Najznačajnije povećanje rashoda evidentirano je na podskupini 369 – Prijenosi između proračunskih korisnika istog proračuna, na kojoj su ostvareni rashodi u ukupnom iznosu od 2.578.653,42 EUR, što predstavlja povećanje od 1.120,7 % u odnosu na isto izvještajno razdoblje prethodne godine. Navedeni rashodi odnose se na povrat sredstava u nadležni proračun, prethodno osiguranih za premošćivanje plaćanja obveza prema dobavljačima u okviru projekta FSEU – Sanacija štete od potresa na „Staroj zgradi” Bolnice.</w:t>
      </w:r>
    </w:p>
    <w:p>
      <w:r>
        <w:t xml:space="preserve">Rashodi za zaposlene (skupina 31) ostvareni su u ukupnom iznosu od 19.740.119,10 EUR, što predstavlja povećanje od 7,6 % u odnosu na isto izvještajno razdoblje prethodne godine. Povećanje rashoda povezano je, između ostalog, s rastom prosječnog broja zaposlenih, kao i s povećanjem osnovice za obračun plaće zaposlenika u javnim službama tijekom 2026. godine.</w:t>
      </w:r>
    </w:p>
    <w:p>
      <w:r>
        <w:t xml:space="preserve">Materijalni rashodi (skupina 32) ostvareni su u ukupnom iznosu od 4.603.465,92 EUR, što predstavlja povećanje od 18,7 % u odnosu na isto izvještajno razdoblje prethodne godine. Najznačajnije povećanje unutar materijalnih rashoda evidentirano je na rashodima za usluge (podskupina 323), koji su ostvareni u iznosu od 1.427.292,19 EUR, odnosno 55,0 % više u odnosu na isto razdoblje prethodne godine.</w:t>
      </w:r>
    </w:p>
    <w:p>
      <w:r>
        <w:t xml:space="preserve">Posebno se izdvajaju rashodi za usluge tekućeg i investicijskog održavanja (odjeljak 3232), ostvareni u iznosu od 415.420,22 EUR, što predstavlja povećanje od 138,5 %, te rashodi za intelektualne i osobne usluge (odjeljak 3237), ostvareni u iznosu od 170.600,65 EUR, što predstavlja povećanje od 204,1 % u odnosu na isto izvještajno razdoblje prethodne godine.</w:t>
      </w:r>
    </w:p>
    <w:p/>
    <w:p>
      <w:pPr>
        <w:jc w:val="center"/>
        <w:pStyle w:val="Normal"/>
        <w:spacing w:line="240" w:lineRule="auto"/>
        <w:keepNext/>
      </w:pPr>
      <w:r>
        <w:rPr>
          <w:sz w:val="28"/>
          <w:rFonts w:ascii="Times New Roman" w:hAnsi="Times New Roman"/>
        </w:rPr>
        <w:t xml:space="preserve">Bilješka 17.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rashodi za zaposlene</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312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494.453,75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551.577,41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111,6</w:t>
            </w:r>
          </w:p>
        </w:tc>
      </w:tr>
    </w:tbl>
    <w:p>
      <w:pPr>
        <w:spacing w:before="0" w:after="0"/>
      </w:pPr>
    </w:p>
    <w:p>
      <w:r>
        <w:t xml:space="preserve">Rashodi poslovanja na skupini 312 Ostali rashodi za zaposlene bilježe povećanje za 11,6% u odnosu na isto izvještajno razdoblje prošle godine.</w:t>
      </w:r>
    </w:p>
    <w:p>
      <w:r>
        <w:t xml:space="preserve">Značajnije povećanje ostalih rashoda za zaposlene bilježe rashodi za jubilarne nagrade (ostvareno 95.347,47 EUR, povećanje za 30,1%), rashodi za otpremnine (ostvareno 80.968,82 EUR, povećanje za 46,5%), te pomoć za rođenje djeteta (ostvareno 7.945,92 EUR, povećanje za 71,4%). Rashodi za regres za godišnji odmor u 2026. godini iznose 250.200,00 EUR, rashodi nagrada za uskršnje blagdane 81.800,00 EUR, pomoć radnicima na bolovanju 25.162,08 EUR, pomoć za smrtni slučaj 9.711,68 te pomoć radnicima u slučaju prof. oboljenja ili teže invalidnosti 441,44 EUR. </w:t>
      </w:r>
    </w:p>
    <w:p/>
    <w:p>
      <w:pPr>
        <w:jc w:val="center"/>
        <w:pStyle w:val="Normal"/>
        <w:spacing w:line="240" w:lineRule="auto"/>
        <w:keepNext/>
      </w:pPr>
      <w:r>
        <w:rPr>
          <w:sz w:val="28"/>
          <w:rFonts w:ascii="Times New Roman" w:hAnsi="Times New Roman"/>
        </w:rPr>
        <w:t xml:space="preserve">Bilješka 18.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Naknade troškova zaposlenima (šifre 3211 do 3214)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426.464,92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509.492,30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119,5</w:t>
            </w:r>
          </w:p>
        </w:tc>
      </w:tr>
    </w:tbl>
    <w:p>
      <w:pPr>
        <w:spacing w:before="0" w:after="0"/>
      </w:pPr>
    </w:p>
    <w:p>
      <w:r>
        <w:t xml:space="preserve">Rashodi poslovanja na skupini 321 bilježe ukupno povećanje za 19,5% u odnosu na isto izvještajno razdoblje prošle godine.</w:t>
      </w:r>
    </w:p>
    <w:p>
      <w:r>
        <w:t xml:space="preserve">Rashodi službenih putovanja iznose ukupno 25.891,31 EUR te bilježe povećanje za 64,9%. Odnose se na troškove dnevnica na službenom putu, naknade za smještaj, naknade za prijevoz djelatnika na službenim putovanjima u zemlji i inozemstvu te naknade za korištenje privatnog automobila na službenom putu.</w:t>
      </w:r>
    </w:p>
    <w:p>
      <w:r>
        <w:t xml:space="preserve">Naknada za prijevoz na posao i s posla bilježi ukupan iznos od 428.625,37 EUR što je povećanje za 19,3% u odnosu na 2025. godinu.</w:t>
      </w:r>
    </w:p>
    <w:p>
      <w:r>
        <w:t xml:space="preserve">Rashodi za stručno usavršavanje zaposlenika u 2026. godini iznose 54.836,83 EUR i bilježe povećanje za 12,9%. Odnose se na troškove seminara, savjetovanja i simpozija,  troškove tečajeva i stručnih ispita te troškova školarina i specijalizacija.</w:t>
      </w:r>
    </w:p>
    <w:p>
      <w:r>
        <w:t xml:space="preserve">Ostale naknade troškova zaposlenima iznose 138,79 EUR, a odnose se na naknadu djelatnicima za korištenje privatnog automobila u službene svrhe i ostale naknade. Bilježe smanjenje za 95,1% u odnosu na prošlu godinu.</w:t>
      </w:r>
    </w:p>
    <w:p/>
    <w:p>
      <w:pPr>
        <w:jc w:val="center"/>
        <w:pStyle w:val="Normal"/>
        <w:spacing w:line="240" w:lineRule="auto"/>
        <w:keepNext/>
      </w:pPr>
      <w:r>
        <w:rPr>
          <w:sz w:val="28"/>
          <w:rFonts w:ascii="Times New Roman" w:hAnsi="Times New Roman"/>
        </w:rPr>
        <w:t xml:space="preserve">Bilješka 19.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materijal i energiju (šifre 3221 do 3227)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1.483.791,30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1.462.862,43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98,6</w:t>
            </w:r>
          </w:p>
        </w:tc>
      </w:tr>
    </w:tbl>
    <w:p>
      <w:pPr>
        <w:spacing w:before="0" w:after="0"/>
      </w:pPr>
    </w:p>
    <w:p>
      <w:r>
        <w:t xml:space="preserve">Ostvarenje rashoda na skupini 322 bilježi smanjenje za 1,4% u odnosu na prethodnu godinu. , a čine ih rashodi za uredski materijal i ostali materijalni rashodi (3221) koji iznose 201.972,87 EUR i bilježe smanjenje za 0,6%, rashodi za materijal i sirovine (3222) koji iznose 617.322,70 EUR i bilježe povećanje za 0,6% , rashodi za energiju (3223) koji iznose 510.917,71 EUR i bilježe smanjenje za 3% .</w:t>
      </w:r>
    </w:p>
    <w:p>
      <w:r>
        <w:t xml:space="preserve">Rashodi za materijal i dijelove za tekuće i investicijsko održavanje (3224) iznose 72.009,81 EUR smanjeni su za 6%.</w:t>
      </w:r>
    </w:p>
    <w:p>
      <w:r>
        <w:t xml:space="preserve">Rashodi iz skupine računa 3225 – Sitni inventar i auto gume ukupno bilježe 58.513,74 EUR i ostaju otprilike na visini rashoda u prošloj godini kada su iznosili 58.397,85 EUR.</w:t>
      </w:r>
    </w:p>
    <w:p>
      <w:r>
        <w:t xml:space="preserve">Rashodi za službenu, radnu i zaštitnu odjeću i obuću u izvještajnom razdoblju iznose ukupno 2.125,60 EUR i smanjeni su za 60,8% u odnosu na prošlu godinu.</w:t>
      </w:r>
    </w:p>
    <w:p/>
    <w:p>
      <w:pPr>
        <w:jc w:val="center"/>
        <w:pStyle w:val="Normal"/>
        <w:spacing w:line="240" w:lineRule="auto"/>
        <w:keepNext/>
      </w:pPr>
      <w:r>
        <w:rPr>
          <w:sz w:val="28"/>
          <w:rFonts w:ascii="Times New Roman" w:hAnsi="Times New Roman"/>
        </w:rPr>
        <w:t xml:space="preserve">Bilješka 20.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usluge (šifre 3231 do 3239)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920.682,53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1.427.292,19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155,0</w:t>
            </w:r>
          </w:p>
        </w:tc>
      </w:tr>
    </w:tbl>
    <w:p>
      <w:pPr>
        <w:spacing w:before="0" w:after="0"/>
      </w:pPr>
    </w:p>
    <w:p>
      <w:r>
        <w:t xml:space="preserve">Navedena podskupina rashoda bilježi povećanje za 55% i iznosi ukupno 1.427.292,19 EUR. Stavke koje bilježe najveće povećanje iz ove podskupine rashoda jesu usluge tekućeg i investicijskog održavanja na odjeljku 3232 koje iznose 415.420,22 EUR i bilježe povećanje za 138,5% uslijed rashoda tekućeg održavanja građevinskih objekata u ukupnoj vrijednosti 178.894,66 EUR, rashoda investicijskog održavanja građevinskih objekata u ukupnoj vrijednosti 37.029,97 EUR, usluga tekućeg održavanja medicinske opreme u ukupnoj vrijednosti 102.073,46 EUR, tekućeg održavanja informatičke i uredske opreme u ukupnoj vrijednosti 21.690,92 EUR, tekućeg održavanja opreme kuhinje i skladišta u ukupnoj vrijednosti 29.974,77 EUR, tekućeg održavanja opreme kotlovnice i plinske stanice u ukupnoj vrijednosti 26.754,26 EUR te usluge tekućeg održavanja prijevoznih sredstava u ukupnoj vrijednosti 3.647,02 EUR, te ostale usluge tekućeg održavanja i sitnih popravaka u ukupnoj vrijednosti 15.355,16 EUR.</w:t>
      </w:r>
    </w:p>
    <w:p>
      <w:r>
        <w:t xml:space="preserve">Na istoj podskupini rashoda bilježimo i značajnije povećanje rashoda na odjeljku 3237 Intelektualne i osobne usluge koje ukupno iznose 170.600,65 EUR i bilježe povećanje za 204,1%. Najveći udio u ovim rashodima odnosi se na rashode po sklopljenim ugovorima o djelu koji iznose ukupno 106.644,79 EUR te na naknade za rad studenata preko ovlaštenih posrednika koji iznose ukupno 45.845,10 EUR. Ostatak rashoda odnosi se na autorske honorare, usluge odvjetnika i pravnog savjetovanja te ostale intelektualne usluge.</w:t>
      </w:r>
    </w:p>
    <w:p>
      <w:r>
        <w:t xml:space="preserve"> </w:t>
      </w:r>
    </w:p>
    <w:p/>
    <w:p>
      <w:pPr>
        <w:jc w:val="center"/>
        <w:pStyle w:val="Normal"/>
        <w:spacing w:line="240" w:lineRule="auto"/>
        <w:keepNext/>
      </w:pPr>
      <w:r>
        <w:rPr>
          <w:sz w:val="28"/>
          <w:rFonts w:ascii="Times New Roman" w:hAnsi="Times New Roman"/>
        </w:rPr>
        <w:t xml:space="preserve">Bilješka 21.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lijekova i potrošnog medicinskog materijala kod zdravstvenih ustanova (šifre 3251 do 3254)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962.252,96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1.120.213,27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116,4</w:t>
            </w:r>
          </w:p>
        </w:tc>
      </w:tr>
    </w:tbl>
    <w:p>
      <w:pPr>
        <w:spacing w:before="0" w:after="0"/>
      </w:pPr>
    </w:p>
    <w:p>
      <w:r>
        <w:t xml:space="preserve">U izvještajnom razdoblju za 2026. po osnovi rashoda lijekova i potrošnog medicinskog materijala ostvareno je ukupno 1.120.213,27 EUR.  U odnosu na prošlu godinu, iskazuju povećanje za 16,4%.</w:t>
      </w:r>
    </w:p>
    <w:p>
      <w:r>
        <w:t xml:space="preserve">Najveće odstupanje bilježe rashodi lijekova i potrošnog medicinskog materijala po osnovi donacije koji iznose 1.731,80 EUR (povećanje za 337,5%), a odnose se na utrošak doniranih lijekova i potrošnog medicinskog materijala (veza prihodi od donacije lijekova na kontu 6631 301)</w:t>
      </w:r>
    </w:p>
    <w:p/>
    <w:p>
      <w:pPr>
        <w:jc w:val="center"/>
        <w:pStyle w:val="Normal"/>
        <w:spacing w:line="240" w:lineRule="auto"/>
        <w:keepNext/>
      </w:pPr>
      <w:r>
        <w:rPr>
          <w:sz w:val="28"/>
          <w:rFonts w:ascii="Times New Roman" w:hAnsi="Times New Roman"/>
        </w:rPr>
        <w:t xml:space="preserve">Bilješka 22.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nespomenuti rashodi poslovanja (šifre 3291 do 3299)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329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79.502,22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81.594,93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102,6</w:t>
            </w:r>
          </w:p>
        </w:tc>
      </w:tr>
    </w:tbl>
    <w:p>
      <w:pPr>
        <w:spacing w:before="0" w:after="0"/>
      </w:pPr>
    </w:p>
    <w:p>
      <w:r>
        <w:t xml:space="preserve">Ostali nespomenuti rashodi poslovanja bilježe povećanje za 2,6% i iznose ukupno 81.594,93 EUR.</w:t>
      </w:r>
    </w:p>
    <w:p>
      <w:r>
        <w:t xml:space="preserve">Rashodi naknada za rad predstavničkih i izvršnih tijela, povjerenstava i slično iznose 18.884,55 EUR i bilježe povećanje od 119,8% uslijed primjene Odluke o utvrđivanju visine naknade za rad predsjednika i članova upravnog vijeća zdravstvene ustanove od 01. veljače 2026. godine i povećanih naknada za predsjednika i članove upravnog vijeća. </w:t>
      </w:r>
    </w:p>
    <w:p/>
    <w:p>
      <w:pPr>
        <w:jc w:val="center"/>
        <w:pStyle w:val="Normal"/>
        <w:spacing w:line="240" w:lineRule="auto"/>
        <w:keepNext/>
      </w:pPr>
      <w:r>
        <w:rPr>
          <w:sz w:val="28"/>
          <w:rFonts w:ascii="Times New Roman" w:hAnsi="Times New Roman"/>
        </w:rPr>
        <w:t xml:space="preserve">Bilješka 23.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Ostali financijski rashodi (šifre 3431 do 3434)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343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62.178,81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80.511,08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129,5</w:t>
            </w:r>
          </w:p>
        </w:tc>
      </w:tr>
    </w:tbl>
    <w:p>
      <w:pPr>
        <w:spacing w:before="0" w:after="0"/>
      </w:pPr>
    </w:p>
    <w:p>
      <w:r>
        <w:t xml:space="preserve">Rashodi na skupini 343 bilježe povećanje od 29,5%. Navedeno se odnosi na rashode u odjeljku 3431 – bankarske usluge i usluge platnog prometa koje ukupno iznose 31.021,05 EUR i bilježe povećanje za 126,6%. Od navedenog iznosa 224,46 EUR se odnosi na rashode naknada u usluzi banaka, dok se 30.796,59 EUR odnosi na usluge platnog prometa te usluge informacijskog posrednika. Zatezne kamate na odjeljku 3433 bilježe ukupno 26.977,85 EUR i smanjene su za 0,5%.</w:t>
      </w:r>
    </w:p>
    <w:p>
      <w:r>
        <w:t xml:space="preserve">Ostali nespomenuti financijski rashodi na odjeljku 3434 iznose 22.512,18 EUR i bilježe povećanje za 5,3%. Odnose se na proviziju za uslugu prihvata kartica u ukupnom iznosu 17.177,65 EUR te posredničku naknadu student servisa u iznosu 5.334,53 EUR. </w:t>
      </w:r>
    </w:p>
    <w:p/>
    <w:p>
      <w:pPr>
        <w:jc w:val="center"/>
        <w:pStyle w:val="Normal"/>
        <w:spacing w:line="240" w:lineRule="auto"/>
        <w:keepNext/>
      </w:pPr>
      <w:r>
        <w:rPr>
          <w:sz w:val="28"/>
          <w:rFonts w:ascii="Times New Roman" w:hAnsi="Times New Roman"/>
        </w:rPr>
        <w:t xml:space="preserve">Bilješka 24.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Prijenosi između proračunskih korisnika istog proračuna (šifre 3691 do 3694)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369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211.251,06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2.578.653,42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1220,7</w:t>
            </w:r>
          </w:p>
        </w:tc>
      </w:tr>
    </w:tbl>
    <w:p>
      <w:pPr>
        <w:spacing w:before="0" w:after="0"/>
      </w:pPr>
    </w:p>
    <w:p>
      <w:r>
        <w:t xml:space="preserve">Rashodi iz podskupine 369, odjeljka 3694 bilježe iznos od 2.578.653,42 EUR, a time i povećanje za 1.120,7% u odnosu na prošlu godinu. Navedeno se odnosi na kapitalne prijenose između proračunskih korisnika istog proračuna temeljem prijenosa EU sredstava, odnosno povrat sredstava u nadležni proračun ranije dobivenih u svrhu premošćivanja plaćanja obveza po projektu FSEU.</w:t>
      </w:r>
    </w:p>
    <w:p/>
    <w:p>
      <w:pPr>
        <w:jc w:val="center"/>
        <w:pStyle w:val="Normal"/>
        <w:spacing w:line="240" w:lineRule="auto"/>
        <w:keepNext/>
      </w:pPr>
      <w:r>
        <w:rPr>
          <w:sz w:val="28"/>
          <w:rFonts w:ascii="Times New Roman" w:hAnsi="Times New Roman"/>
        </w:rPr>
        <w:t xml:space="preserve">Bilješka 25.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poslovanja - preneseni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92221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11.766.521,44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15.240.074,64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129,5</w:t>
            </w:r>
          </w:p>
        </w:tc>
      </w:tr>
    </w:tbl>
    <w:p>
      <w:pPr>
        <w:spacing w:before="0" w:after="0"/>
      </w:pPr>
    </w:p>
    <w:p>
      <w:r>
        <w:t xml:space="preserve">Iznos prenesenog manjka prihoda poslovanja iz ranijih godina na kontu 9222 100 na datum 01.01.2026. iznosi 15.256.005,85 EUR.</w:t>
      </w:r>
    </w:p>
    <w:p>
      <w:r>
        <w:t xml:space="preserve">U 2026. godini evidentiraju se ispravci iz prethodnih razdoblja:</w:t>
      </w:r>
    </w:p>
    <w:p>
      <w:r>
        <w:t xml:space="preserve">Konto 9221 400 – višak prihoda poslovanja – ispravci iz prethodnih razdoblja - korekcija poslovnog rezultata za ispravak ulaznog računa iz prosinca dobavljača AB gradnja u dijelu korekcije obveze PDV-a (u veljači je dostavljen ispravak računa u dijelu ispravnog evidentiranja usluge ugradnje solarnih ploča po stopi od 0% PDV, umjesto prijenosa porezne obveze kako je bilo obračunato na prvom računu u prosincu 2025. godine) – 17.030,70 EUR.</w:t>
      </w:r>
    </w:p>
    <w:p>
      <w:r>
        <w:t xml:space="preserve">Konto 9222 400 – manjak prihoda poslovanja – ispravci iz prethodnih razdoblja – evidentirani zahtjevi HZZ-a za povrat sredstava dobivenih u programu mjera za pripravnike, a za što je u ranijem razdoblju priznat prihod. Evidentirano je ukupno zahtjeva za 8 pripravnika u ukupnom iznosu 1.099,49 EUR.</w:t>
      </w:r>
    </w:p>
    <w:p>
      <w:r>
        <w:t xml:space="preserve">Slijedom navedenog, iznos ukupno prenesenog manjka prihoda poslovanja evidentiranog u obrascu PR-RAS na poziciji AOP 92221 iznosi 15.240.074,64 EUR te isti bilježi povećanje za 29,5% u odnosu na isto izvještajno razdoblje prošle godine. </w:t>
      </w:r>
    </w:p>
    <w:p/>
    <w:p>
      <w:pPr>
        <w:jc w:val="center"/>
        <w:pStyle w:val="Normal"/>
        <w:spacing w:line="240" w:lineRule="auto"/>
        <w:keepNext/>
      </w:pPr>
      <w:r>
        <w:rPr>
          <w:sz w:val="28"/>
          <w:rFonts w:ascii="Times New Roman" w:hAnsi="Times New Roman"/>
        </w:rPr>
        <w:t xml:space="preserve">Bilješka 26.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poslovanja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1.006.187,13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4.217.711,02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419,2</w:t>
            </w:r>
          </w:p>
        </w:tc>
      </w:tr>
    </w:tbl>
    <w:p>
      <w:pPr>
        <w:spacing w:before="0" w:after="0"/>
      </w:pPr>
    </w:p>
    <w:p>
      <w:r>
        <w:t xml:space="preserve">Obračunati prihodi poslovanja – nenaplaćeni na dan 30. rujna 2026. godine iznose 4.217.711,02 EUR, što predstavlja povećanje od 319,2 % u odnosu na isto izvještajno razdoblje prethodne godine.</w:t>
      </w:r>
    </w:p>
    <w:p>
      <w:r>
        <w:t xml:space="preserve">Najveći dio navedenih prihoda odnosi se na:</w:t>
      </w:r>
    </w:p>
    <w:p>
      <w:pPr>
        <w:pStyle w:val="ListParagraph"/>
        <w:numPr>
          <w:ilvl w:val="0"/>
          <w:numId w:val="2"/>
        </w:numPr>
      </w:pPr>
      <w:r>
        <w:t xml:space="preserve">Obračunate prihode temeljem pomoći iz državnog proračuna na osnovi prijenosa EU sredstava u iznosu od 2.787.763,78 EUR temeljem potraživanja po podnesenom Zahtjevu za nadoknadu sredstava br. 19 u okviru projekta FSEU obnove Stare zgrade</w:t>
      </w:r>
    </w:p>
    <w:p>
      <w:pPr>
        <w:pStyle w:val="ListParagraph"/>
        <w:numPr>
          <w:ilvl w:val="0"/>
          <w:numId w:val="2"/>
        </w:numPr>
      </w:pPr>
      <w:r>
        <w:t xml:space="preserve">Obračunate prihode od HZZO-a po osnovi dopunskog zdravstvenog osiguranja u iznosu od 835.837,88 EUR.</w:t>
      </w:r>
    </w:p>
    <w:p>
      <w:pPr>
        <w:pStyle w:val="ListParagraph"/>
        <w:numPr>
          <w:ilvl w:val="0"/>
          <w:numId w:val="2"/>
        </w:numPr>
      </w:pPr>
      <w:r>
        <w:t xml:space="preserve">Obračunate prihode od HZZO-a na temelju ugovornih obveza i Ministarstva zdravstva za pružanje zdravstvene zaštite osobama iz Ukrajine u ukupnom iznosu od 321.146,01 EUR.</w:t>
      </w:r>
    </w:p>
    <w:p>
      <w:pPr>
        <w:pStyle w:val="ListParagraph"/>
        <w:numPr>
          <w:ilvl w:val="0"/>
          <w:numId w:val="2"/>
        </w:numPr>
      </w:pPr>
      <w:r>
        <w:t xml:space="preserve">Obračunate prihode od prodaje proizvoda i pruženih usluga u iznosu od 201.842,59 EUR.</w:t>
      </w:r>
    </w:p>
    <w:p>
      <w:pPr>
        <w:pStyle w:val="ListParagraph"/>
        <w:numPr>
          <w:ilvl w:val="0"/>
          <w:numId w:val="2"/>
        </w:numPr>
      </w:pPr>
      <w:r>
        <w:t xml:space="preserve">Preostali iznos od 71.120,76 EUR odnosi se na ostale obračunate nenaplaćene prihode poslovanja.</w:t>
      </w:r>
    </w:p>
    <w:p/>
    <w:p>
      <w:pPr>
        <w:jc w:val="center"/>
        <w:pStyle w:val="Normal"/>
        <w:spacing w:line="240" w:lineRule="auto"/>
        <w:keepNext/>
      </w:pPr>
      <w:r>
        <w:rPr>
          <w:sz w:val="28"/>
          <w:rFonts w:ascii="Times New Roman" w:hAnsi="Times New Roman"/>
        </w:rPr>
        <w:t xml:space="preserve">Bilješka 27.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Prihodi od prodaje nefinancijske imovine (šifre 71+72+73+74)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560,31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1.528,53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272,8</w:t>
            </w:r>
          </w:p>
        </w:tc>
      </w:tr>
    </w:tbl>
    <w:p>
      <w:pPr>
        <w:spacing w:before="0" w:after="0"/>
      </w:pPr>
    </w:p>
    <w:p>
      <w:r>
        <w:t xml:space="preserve">U razdoblju od 1. siječnja do 30. rujna 2026. godine prihodi od prodaje nefinancijske imovine ostvareni su u ukupnom iznosu od 1.528,53 EUR. Od navedenog iznosa, 168,53 EUR odnosi se na prihode od otkupa stanova iz 1992. godine, evidentirane na odjeljku 7211 – Stambeni objekti, dok se 1.360,00 EUR odnosi na prihode od prodaje rashodovane imovine, evidentirane na odjeljku 7221.</w:t>
      </w:r>
    </w:p>
    <w:p/>
    <w:p>
      <w:pPr>
        <w:jc w:val="center"/>
        <w:pStyle w:val="Normal"/>
        <w:spacing w:line="240" w:lineRule="auto"/>
        <w:keepNext/>
      </w:pPr>
      <w:r>
        <w:rPr>
          <w:sz w:val="28"/>
          <w:rFonts w:ascii="Times New Roman" w:hAnsi="Times New Roman"/>
        </w:rPr>
        <w:t xml:space="preserve">Bilješka 28.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nefinancijske imovine (šifre 41+42+43+44+45)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6.137.976,37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8.316.618,89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135,5</w:t>
            </w:r>
          </w:p>
        </w:tc>
      </w:tr>
    </w:tbl>
    <w:p>
      <w:pPr>
        <w:spacing w:before="0" w:after="0"/>
      </w:pPr>
    </w:p>
    <w:p>
      <w:r>
        <w:t xml:space="preserve">Rashodi za nabavu nefinancijske imovine u izvještajnom razdoblju ostvareni su u ukupnom iznosu od 8.316.618,89 EUR, što predstavlja povećanje od 35,5 % u odnosu na isto razdoblje prethodne godine.</w:t>
      </w:r>
    </w:p>
    <w:p>
      <w:r>
        <w:t xml:space="preserve">Najveći dio navedenih rashoda odnosi se na skupinu 45 – Rashodi za dodatna ulaganja na nefinancijskoj imovini, na kojoj su evidentirani rashodi u ukupnom iznosu od 6.339.376,73 EUR.</w:t>
      </w:r>
    </w:p>
    <w:p>
      <w:r>
        <w:t xml:space="preserve">Od navedenog iznosa, 6.270.894,30 EUR odnosi se na dodatna ulaganja na građevinskim objektima u okviru obnove i sanacije „Stare zgrade” Bolnice, dok se preostalih 68.482,43 EUR odnosi na ostala dodatna ulaganja na građevinskim objektima te dodatna ulaganja na medicinskoj opremi.</w:t>
      </w:r>
    </w:p>
    <w:p>
      <w:r>
        <w:t xml:space="preserve">Rashodi za nabavu neproizvedene dugotrajne imovine, evidentirani na skupini 41, ostvareni su u iznosu od 37.590,88 EUR i u cijelosti se odnose na nabavu računalnih licenci. U odnosu na isto izvještajno razdoblje prethodne godine povećani su za 487,9 %.</w:t>
      </w:r>
    </w:p>
    <w:p>
      <w:r>
        <w:t xml:space="preserve">Rashodi za nabavu proizvedene dugotrajne imovine, evidentirani na skupini 42, ostvareni su u ukupnom iznosu od 1.939.651,28 EUR, što predstavlja povećanje od 401,2 % u odnosu na isto razdoblje prethodne godine.</w:t>
      </w:r>
    </w:p>
    <w:p>
      <w:r>
        <w:t xml:space="preserve">Najznačajniji dio navedenih rashoda odnosi se na nabavu postrojenja i opreme, u ukupnom iznosu od 1.912.426,28 EUR, unutar koje se posebno izdvajaju rashodi za medicinsku i laboratorijsku opremu u iznosu od 1.552.655,59 EUR, što predstavlja povećanje od 608,2 % u odnosu na isto izvještajno razdoblje prethodne godine.</w:t>
      </w:r>
    </w:p>
    <w:p>
      <w:r>
        <w:t xml:space="preserve">Navedena ulaganja obuhvaćaju nabavu medicinske i laboratorijske opreme u okviru opremanja obnovljene „Stare zgrade” Bolnice te zamjene dotrajale medicinske opreme, kao i nabavu računala, računalne i komunikacijske opreme, televizora za pacijente, dvaju klimatizacijskih uređaja, namještaja i ostale opreme potrebne za redovno obavljanje zdravstvene djelatnosti.</w:t>
      </w:r>
    </w:p>
    <w:p>
      <w:r>
        <w:t xml:space="preserve">Dio ulaganja odnosi se na prilagodbu i integraciju bolničkog informacijskog sustava sa središnjim dijelovima programskih sustava nabavljenih kroz projekte Nacionalnog plana oporavka i otpornosti 2021. – 2026., implementaciju programskih rješenja u okviru obveze primjene Fiskalizacije 2.0 te ostalu nabavu računalne opreme i programa potrebnih za redovno poslovanje Bolnice.</w:t>
      </w:r>
    </w:p>
    <w:p>
      <w:r>
        <w:t xml:space="preserve">U okviru rashoda za nabavu proizvedene dugotrajne imovine evidentirana su i ulaganja u računalne programe (odjeljak 4262) u iznosu od 27.225,00 EUR, dok u istom izvještajnom razdoblju prethodne godine rashodi po navedenoj osnovi nisu bili evidentirani.</w:t>
      </w:r>
    </w:p>
    <w:p/>
    <w:p>
      <w:pPr>
        <w:jc w:val="center"/>
        <w:pStyle w:val="Normal"/>
        <w:spacing w:line="240" w:lineRule="auto"/>
        <w:keepNext/>
      </w:pPr>
      <w:r>
        <w:rPr>
          <w:sz w:val="28"/>
          <w:rFonts w:ascii="Times New Roman" w:hAnsi="Times New Roman"/>
        </w:rPr>
        <w:t xml:space="preserve">Bilješka 29.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neproizvedene dugotrajne imovine (šifre 411+412)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6.394,40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37.590,88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587,9</w:t>
            </w:r>
          </w:p>
        </w:tc>
      </w:tr>
    </w:tbl>
    <w:p>
      <w:pPr>
        <w:spacing w:before="0" w:after="0"/>
      </w:pPr>
    </w:p>
    <w:p>
      <w:r>
        <w:t xml:space="preserve">Rashodi za nabavu neproizvedene dugotrajne imovine, evidentirani na skupini 41, ostvareni su u iznosu od 37.590,88 EUR i u cijelosti se odnose na nabavu računalnih licenci. U odnosu na isto izvještajno razdoblje prethodne godine povećani su za 487,9 %.</w:t>
      </w:r>
    </w:p>
    <w:p/>
    <w:p>
      <w:pPr>
        <w:jc w:val="center"/>
        <w:pStyle w:val="Normal"/>
        <w:spacing w:line="240" w:lineRule="auto"/>
        <w:keepNext/>
      </w:pPr>
      <w:r>
        <w:rPr>
          <w:sz w:val="28"/>
          <w:rFonts w:ascii="Times New Roman" w:hAnsi="Times New Roman"/>
        </w:rPr>
        <w:t xml:space="preserve">Bilješka 30.</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nabavu proizvedene dugotrajne imovine (šifre 421+422+423+424+425+426)</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387.014,22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1.939.651,28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501,2</w:t>
            </w:r>
          </w:p>
        </w:tc>
      </w:tr>
    </w:tbl>
    <w:p>
      <w:pPr>
        <w:spacing w:before="0" w:after="0"/>
      </w:pPr>
    </w:p>
    <w:p>
      <w:r>
        <w:t xml:space="preserve">Rashodi za nabavu proizvedene dugotrajne imovine, evidentirani na skupini 42, ostvareni su u ukupnom iznosu od 1.939.651,28 EUR, što predstavlja povećanje od 401,2 % u odnosu na isto razdoblje prethodne godine.</w:t>
      </w:r>
    </w:p>
    <w:p>
      <w:r>
        <w:t xml:space="preserve">Najznačajniji dio navedenih rashoda odnosi se na nabavu postrojenja i opreme, u ukupnom iznosu od 1.912.426,28 EUR. Unutar navedenih rashoda posebno izdvajaju rashodi za medicinsku i laboratorijsku opremu u iznosu od 1.552.655,59 EUR od čega se iznos od 4.023,76 EUR odnosi na rashode medicinske opreme iz donacije.</w:t>
      </w:r>
    </w:p>
    <w:p>
      <w:r>
        <w:t xml:space="preserve">Navedena ulaganja obuhvaćaju nabavu medicinske i laboratorijske opreme u okviru opremanja obnovljene „Stare zgrade” Bolnice te zamjene dotrajale medicinske opreme, kao i nabavu računala, računalne i komunikacijske opreme, televizora za pacijente, dvaju klimatizacijskih uređaja, namještaja i ostale opreme potrebne za redovno obavljanje zdravstvene djelatnosti.</w:t>
      </w:r>
    </w:p>
    <w:p>
      <w:r>
        <w:t xml:space="preserve">Dio ulaganja odnosi se na prilagodbu i integraciju bolničkog informacijskog sustava sa središnjim dijelovima programskih sustava nabavljenih kroz projekte Nacionalnog plana oporavka i otpornosti 2021. – 2026., implementaciju programskih rješenja u okviru obveza Fiskalizacije 2.0 te ostalu nabavu računalne opreme i programa potrebnih za redovno poslovanje Bolnice.</w:t>
      </w:r>
    </w:p>
    <w:p>
      <w:r>
        <w:t xml:space="preserve">U okviru rashoda za nabavu proizvedene dugotrajne imovine evidentirana su i ulaganja u računalne programe (odjeljak 4262) u iznosu od 27.225,00 EUR, dok u istom izvještajnom razdoblju prethodne godine rashodi po navedenoj osnovi nisu bili evidentirani</w:t>
      </w:r>
    </w:p>
    <w:p/>
    <w:p>
      <w:pPr>
        <w:jc w:val="center"/>
        <w:pStyle w:val="Normal"/>
        <w:spacing w:line="240" w:lineRule="auto"/>
        <w:keepNext/>
      </w:pPr>
      <w:r>
        <w:rPr>
          <w:sz w:val="28"/>
          <w:rFonts w:ascii="Times New Roman" w:hAnsi="Times New Roman"/>
        </w:rPr>
        <w:t xml:space="preserve">Bilješka 31.</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za dodatna ulaganja na nefinancijskoj imovini (šifre 451 do 454)</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45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5.744.567,75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6.339.376,73</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110,4</w:t>
            </w:r>
          </w:p>
        </w:tc>
      </w:tr>
    </w:tbl>
    <w:p>
      <w:pPr>
        <w:spacing w:before="0" w:after="0"/>
      </w:pPr>
    </w:p>
    <w:p>
      <w:r>
        <w:t xml:space="preserve">Rashodi za dodatna ulaganja na nefinancijskoj imovini evidentirani su u ukupnom iznosu od 6.339.376,73 EUR.</w:t>
      </w:r>
    </w:p>
    <w:p>
      <w:r>
        <w:t xml:space="preserve">Od navedenog iznosa, 6.270.894,30 EUR odnosi se na dodatna ulaganja na građevinskim objektima u okviru obnove i sanacije „Stare zgrade” Bolnice, dok se preostalih 68.482,43 EUR odnosi na ostala dodatna ulaganja na građevinskim objektima te dodatna ulaganja na medicinskoj opremi.</w:t>
      </w:r>
    </w:p>
    <w:p/>
    <w:p>
      <w:pPr>
        <w:jc w:val="center"/>
        <w:pStyle w:val="Normal"/>
        <w:spacing w:line="240" w:lineRule="auto"/>
        <w:keepNext/>
      </w:pPr>
      <w:r>
        <w:rPr>
          <w:sz w:val="28"/>
          <w:rFonts w:ascii="Times New Roman" w:hAnsi="Times New Roman"/>
        </w:rPr>
        <w:t xml:space="preserve">Bilješka 32.</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97</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Obračunati prihodi od prodaje nefinancijske imovine - nenaplaćeni</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97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12.001,55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11.396,77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95,0</w:t>
            </w:r>
          </w:p>
        </w:tc>
      </w:tr>
    </w:tbl>
    <w:p>
      <w:pPr>
        <w:spacing w:before="0" w:after="0"/>
      </w:pPr>
    </w:p>
    <w:p>
      <w:r>
        <w:t xml:space="preserve">Obračunati prihodi od prodaje nefinancijske imovine – nenaplaćeni na dan 30. rujna 2026. iznose 11.396,77 EUR i odnose se na nenaplaćeni obračunate prihode po osnovi prodaje stanova iz 1992. i temeljem potraživanja od Zagrebačke banke po osnovi kredita za otkup stanova.</w:t>
      </w:r>
    </w:p>
    <w:p/>
    <w:p>
      <w:pPr>
        <w:jc w:val="center"/>
        <w:pStyle w:val="Normal"/>
        <w:spacing w:line="240" w:lineRule="auto"/>
        <w:keepNext/>
      </w:pPr>
      <w:r>
        <w:rPr>
          <w:sz w:val="28"/>
          <w:rFonts w:ascii="Times New Roman" w:hAnsi="Times New Roman"/>
        </w:rPr>
        <w:t xml:space="preserve">Bilješka 33.</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Primici od financijske imovine i zaduživanja (šifre 81+82+83+84+85)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8</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izvještajnom razdoblju nema ostvarenih primitaka od financijske imovine i zaduživanja.</w:t>
      </w:r>
    </w:p>
    <w:p/>
    <w:p>
      <w:pPr>
        <w:jc w:val="center"/>
        <w:pStyle w:val="Normal"/>
        <w:spacing w:line="240" w:lineRule="auto"/>
        <w:keepNext/>
      </w:pPr>
      <w:r>
        <w:rPr>
          <w:sz w:val="28"/>
          <w:rFonts w:ascii="Times New Roman" w:hAnsi="Times New Roman"/>
        </w:rPr>
        <w:t xml:space="preserve">Bilješka 34.</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Izdaci za financijsku imovinu i otplate zajmova (šifre 51+52+53+54+55)</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0,00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w:t>
            </w:r>
          </w:p>
        </w:tc>
      </w:tr>
    </w:tbl>
    <w:p>
      <w:pPr>
        <w:spacing w:before="0" w:after="0"/>
      </w:pPr>
    </w:p>
    <w:p>
      <w:r>
        <w:t xml:space="preserve">U izvještajnom razdoblju nema evidentiranih izdataka za financijsku imovinu i otplate zajmova.</w:t>
      </w:r>
    </w:p>
    <w:p/>
    <w:p>
      <w:pPr>
        <w:jc w:val="center"/>
        <w:pStyle w:val="Normal"/>
        <w:spacing w:line="240" w:lineRule="auto"/>
        <w:keepNext/>
      </w:pPr>
      <w:r>
        <w:rPr>
          <w:sz w:val="28"/>
          <w:rFonts w:ascii="Times New Roman" w:hAnsi="Times New Roman"/>
        </w:rPr>
        <w:t xml:space="preserve">Bilješka 35.</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Manjak prihoda i primitaka za pokriće u sljedećem razdoblju (šifre Y005 + '9222-9221' - X005 - '9221-9222'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Y006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17.056.560,17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17.010.933,56</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99,7</w:t>
            </w:r>
          </w:p>
        </w:tc>
      </w:tr>
    </w:tbl>
    <w:p>
      <w:pPr>
        <w:spacing w:before="0" w:after="0"/>
      </w:pPr>
    </w:p>
    <w:p>
      <w:r>
        <w:t xml:space="preserve">U razdoblju od 1. siječnja do 30. rujna 2026. ostvaren je rezultat manjka prihoda i primitaka u iznosu 658.850,64 EUR slijedom čega iznos manjka prihoda poslovanja za pokriće u idućem razdoblju iznosi 17.010.933,56 EUR. </w:t>
      </w:r>
    </w:p>
    <w:p/>
    <w:p>
      <w:pPr>
        <w:jc w:val="center"/>
        <w:pStyle w:val="Normal"/>
        <w:spacing w:line="240" w:lineRule="auto"/>
        <w:keepNext/>
      </w:pPr>
      <w:r>
        <w:rPr>
          <w:sz w:val="28"/>
          <w:rFonts w:ascii="Times New Roman" w:hAnsi="Times New Roman"/>
        </w:rPr>
        <w:t xml:space="preserve">Bilješka 36.</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19</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Rashodi budućih razdoblja i nedospjela naplata prihoda (aktivna vremenska razgraničenja)</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24.148,95</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48.152,60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199,4</w:t>
            </w:r>
          </w:p>
        </w:tc>
      </w:tr>
    </w:tbl>
    <w:p>
      <w:pPr>
        <w:spacing w:before="0" w:after="0"/>
      </w:pPr>
    </w:p>
    <w:p>
      <w:r>
        <w:t xml:space="preserve">Rashodi budućih razdoblja iznose 48.152,60 EUR te bilježe relativno povećanje od 99,4%. Na navedenoj skupini potraživanja tijekom devetomjesečnog razdoblja u 2026. godini evidentirani su značajniji rashodi budućih razdoblja po osnovi naknade za zaštitu voda prema Rješenju u iznosu 13.389,30 EUR, naknadu za uređenje voda 4.739,84 EUR, komunalna naknada Općini za buduće razdoblje u iznosu 26.469,42 EUR, premije osiguranja prema novom ugovoru o osiguranju u ukupnoj vrijednosti 24.190,86 EUR te rashodi budućih razdoblja za stručna usavršavanja zaposlenika.</w:t>
      </w:r>
    </w:p>
    <w:p/>
    <w:p>
      <w:pPr>
        <w:jc w:val="center"/>
        <w:pStyle w:val="Normal"/>
        <w:spacing w:line="240" w:lineRule="auto"/>
        <w:keepNext/>
      </w:pPr>
      <w:r>
        <w:rPr>
          <w:sz w:val="28"/>
          <w:rFonts w:ascii="Times New Roman" w:hAnsi="Times New Roman"/>
        </w:rPr>
        <w:t xml:space="preserve">Bilješka 37.</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Stanje novčanih sredstava na kraju izvještajnog razdoblja (šifre 11P + '11-dugov.' - '11-potraž.')</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11K</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629.816,51</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809.035,92</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128,5</w:t>
            </w:r>
          </w:p>
        </w:tc>
      </w:tr>
    </w:tbl>
    <w:p>
      <w:pPr>
        <w:spacing w:before="0" w:after="0"/>
      </w:pPr>
    </w:p>
    <w:p>
      <w:r>
        <w:t xml:space="preserve">Stanje novčanih sredstava na kraju izvještajnog razdoblja iznosi ukupno 809.035,92 EUR od čega se iznos od 802.237,28 EUR odnosi na novčana sredstva na računima kod tuzemne poslovne banke, 6.498,64 EUR stanje novčanih sredstava u glavnoj blagajni te ukupno 300,00 EUR novčanih sredstava u pomoćnim blagajnama.</w:t>
      </w:r>
    </w:p>
    <w:p/>
    <w:p>
      <w:pPr>
        <w:jc w:val="center"/>
        <w:pStyle w:val="Normal"/>
        <w:spacing w:line="240" w:lineRule="auto"/>
        <w:keepNext/>
      </w:pPr>
      <w:r>
        <w:rPr>
          <w:sz w:val="28"/>
          <w:rFonts w:ascii="Times New Roman" w:hAnsi="Times New Roman"/>
        </w:rPr>
        <w:t xml:space="preserve">Bilješka 38.</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Prosječan broj zaposlenih kod korisnika na osnovi stanja na početku i na kraju izvještajnog razdoblja (cijeli broj)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Z007</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805,00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829,00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103,0</w:t>
            </w:r>
          </w:p>
        </w:tc>
      </w:tr>
    </w:tbl>
    <w:p>
      <w:pPr>
        <w:spacing w:before="0" w:after="0"/>
      </w:pPr>
    </w:p>
    <w:p>
      <w:r>
        <w:t xml:space="preserve">Prosječan broj zaposlenih kod korisnika na osnovi stanja na početku i na kraju izvještajnog razdoblja sukladno uputi Ministarstva utvrđuje se kao prosjek stanja zaposlenih 1. siječnja 2026. i 30 rujna 2026. , uključujući i zaposlene u inozemstvu.  Stanje ukupnog broja zaposlenih po datumima: 01.01.2026. – 819, 30.09.2026. – 838. Temeljem navedenog, prosječan broj zaposlenih iznosi 829 što je za 3% više od istog izvještajnog razdoblja prošle godine.</w:t>
      </w:r>
    </w:p>
    <w:p/>
    <w:p>
      <w:pPr>
        <w:jc w:val="center"/>
        <w:pStyle w:val="Normal"/>
        <w:spacing w:line="240" w:lineRule="auto"/>
        <w:keepNext/>
      </w:pPr>
      <w:r>
        <w:rPr>
          <w:sz w:val="28"/>
          <w:rFonts w:ascii="Times New Roman" w:hAnsi="Times New Roman"/>
        </w:rPr>
        <w:t xml:space="preserve">Bilješka 39.</w:t>
      </w:r>
    </w:p>
    <w:tbl>
      <w:tblPr>
        <w:tblBorders>
          <w:top w:val="single" w:color="BABABA" w:sz="12"/>
          <w:bottom w:val="single" w:color="BABABA" w:sz="12"/>
          <w:left w:val="single" w:color="BABABA" w:sz="12"/>
          <w:right w:val="single" w:color="BABABA" w:sz="12"/>
          <w:insideH w:val="single" w:color="BABABA" w:sz="8"/>
          <w:insideV w:val="single" w:color="DADADA" w:sz="8"/>
        </w:tblBorders>
        <w:tblW w:w="9000" w:type="dxa"/>
        <w:tblLayout w:type="fixed"/>
        <w:tblCellMar>
          <w:left w:w="40" w:type="dxa"/>
          <w:right w:w="40" w:type="dxa"/>
        </w:tblCellMar>
      </w:tblPr>
      <w:tblGrid>
        <w:gridCol w:w="700"/>
        <w:gridCol w:w="3180"/>
        <w:gridCol w:w="700"/>
        <w:gridCol w:w="1860"/>
        <w:gridCol w:w="1860"/>
        <w:gridCol w:w="700"/>
      </w:tblGrid>
      <w:tr>
        <w:trPr>
          <w:cantSplit/>
        </w:trPr>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Račun iz rač. plana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Opis stavke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Šifra</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prethodne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Ostvareno u izvještajnom razdoblju tekuće godine</w:t>
            </w:r>
          </w:p>
        </w:tc>
        <w:tc>
          <w:tcPr>
            <w:shd w:val="clear" w:color="auto" w:fill="E7F0F9"/>
            <w:tcMar>
              <w:top w:w="0" w:type="dxa"/>
              <w:bottom w:w="0" w:type="dxa"/>
            </w:tcMar>
            <w:vAlign w:val="center"/>
          </w:tcPr>
          <w:p>
            <w:pPr>
              <w:jc w:val="center"/>
              <w:pStyle w:val="Normal"/>
              <w:spacing w:before="0" w:after="0" w:line="240" w:lineRule="auto"/>
              <w:keepNext/>
              <w:keepLines/>
            </w:pPr>
            <w:r>
              <w:rPr>
                <w:sz w:val="18"/>
                <w:rFonts w:ascii="Times New Roman" w:hAnsi="Times New Roman"/>
                <w:b/>
              </w:rPr>
              <w:t>Indeks (%)</w:t>
            </w:r>
          </w:p>
        </w:tc>
      </w:tr>
      <w:tr>
        <w:trPr>
          <w:trHeight w:val="560" w:hRule="atLeast"/>
          <w:cantSplit/>
        </w:trPr>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 </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Prosječan broj zaposlenih kod korisnika na osnovi sati rada (cijeli broj)</w:t>
            </w:r>
          </w:p>
        </w:tc>
        <w:tc>
          <w:tcPr>
            <w:tcMar>
              <w:top w:w="0" w:type="dxa"/>
              <w:bottom w:w="0" w:type="dxa"/>
            </w:tcMar>
            <w:vAlign w:val="center"/>
          </w:tcPr>
          <w:p>
            <w:pPr>
              <w:jc w:val="left"/>
              <w:pStyle w:val="Normal"/>
              <w:spacing w:before="0" w:after="0" w:line="240" w:lineRule="auto"/>
              <w:keepNext/>
              <w:keepLines/>
            </w:pPr>
            <w:r>
              <w:rPr>
                <w:sz w:val="18"/>
                <w:rFonts w:ascii="Times New Roman" w:hAnsi="Times New Roman"/>
              </w:rPr>
              <w:t>Z009</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743,00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764,00</w:t>
            </w:r>
          </w:p>
        </w:tc>
        <w:tc>
          <w:tcPr>
            <w:tcMar>
              <w:top w:w="0" w:type="dxa"/>
              <w:bottom w:w="0" w:type="dxa"/>
            </w:tcMar>
            <w:vAlign w:val="center"/>
          </w:tcPr>
          <w:p>
            <w:pPr>
              <w:jc w:val="right"/>
              <w:pStyle w:val="Normal"/>
              <w:spacing w:before="0" w:after="0" w:line="240" w:lineRule="auto"/>
              <w:keepNext/>
              <w:keepLines/>
            </w:pPr>
            <w:r>
              <w:rPr>
                <w:sz w:val="18"/>
                <w:rFonts w:ascii="Times New Roman" w:hAnsi="Times New Roman"/>
              </w:rPr>
              <w:t>102,8</w:t>
            </w:r>
          </w:p>
        </w:tc>
      </w:tr>
    </w:tbl>
    <w:p>
      <w:pPr>
        <w:spacing w:before="0" w:after="0"/>
      </w:pPr>
    </w:p>
    <w:p>
      <w:r>
        <w:t xml:space="preserve">Prosječan broj zaposlenih na osnovi sati rada iznosi 764 te bilježi povećanje od 2,8%  u odnosu na isto izvještajno razdoblje prošle godine.</w:t>
      </w:r>
    </w:p>
    <w:p>
      <w:r>
        <w:t xml:space="preserve"> </w:t>
      </w:r>
    </w:p>
    <w:p/>
    <w:p>
      <w:pPr>
        <w:jc w:val="center"/>
        <w:pStyle w:val="Normal"/>
        <w:spacing w:line="240" w:lineRule="auto"/>
        <w:keepNext/>
      </w:pPr>
      <w:r>
        <w:rPr>
          <w:sz w:val="28"/>
          <w:rFonts w:ascii="Times New Roman" w:hAnsi="Times New Roman"/>
        </w:rPr>
        <w:t xml:space="preserve">Bilješka 40.</w:t>
      </w:r>
    </w:p>
    <w:p>
      <w:pPr>
        <w:jc w:val="both"/>
        <w:pStyle w:val="Normal"/>
        <w:spacing w:line="240" w:lineRule="auto"/>
      </w:pPr>
      <w:r>
        <w:rPr>
          <w:b/>
          <w:sz w:val="24"/>
          <w:rFonts w:ascii="Times New Roman" w:hAnsi="Times New Roman"/>
        </w:rPr>
        <w:t xml:space="preserve">EU izvještaj</w:t>
      </w:r>
    </w:p>
    <w:p>
      <w:pPr>
        <w:jc w:val="both"/>
      </w:pPr>
      <w:r>
        <w:t xml:space="preserve">Temeljem Poziva na dodjelu bespovratnih financijskih sredstava „Vraćanje u uporabljivo stanje infrastrukture u području zdravstva na području Grada Zagreba, Krapinsko-zagorske županije, Zagrebačke županije, Sisačko-moslavačke županije, Karlovačke županije, Varaždinske županije, Međimurske županije, Brodsko-posavske županije, Koprivničko-križevačke županije i Bjelovarsko-bilogorske županije“ sklopljen je Ugovor o dodjeli bespovratnih financijskih sredstava za operacije koje se financiraju iz Fonda solidarnosti Europske unije. U 2022. godini je potpisan osnovni Ugovor, nakon toga i 9 Dodataka Ugovoru čija je vrijednost 25.469.869,80 eura. Iz Fonda solidarnosti EU i iz Državnog proračuna financira se iznos od 5.220.334,29 eura (20,50%), a ostatak od 20.249.535,51 euro (79,50%) iz Mehanizma za oporavak i otpornost i/ili drugih izvora. Dodatkom br. 8 Ugovoru o dodjeli bespovratnih financijskih sredstava osigurano je financiranje cjelovite obnove stare zgrade bolnice kao i stručnog i projektantskog nadzora na radovima cjelovite obnove stare zgrade i upravljanje projektom gradnje. Po završetku cjelovite obnove, iz istog izvora se financira i ishođenje energetskog certifikata za staru zgradu.</w:t>
      </w:r>
    </w:p>
    <w:p>
      <w:pPr>
        <w:jc w:val="both"/>
      </w:pPr>
      <w:r>
        <w:t xml:space="preserve">S osnova Ugovora o dodjeli bespovratnih financijskih sredstava, u razdoblju od siječnja do rujna 2026. godine prihodi iz Mehanizma za oporavak i otpornost iznose 6.324.905,73 eura (iznos od 431.538,59 eura odnosi se na priznati dio prihoda iz predujma temeljem odobrenih Zahtjeva za nadoknadu sredstava br. 16 i 17 prema uputi iz Okružnice o sastavljanju, konsolidaciji i predaji financijskih izvještaja proračuna, proračunskih i izvanproračunskih korisnika državnog proračuna te proračunskih i izvanproračunskih korisnika jedinica lokalne i područne (regionalne) samouprave, iznos od 3.872.273,72 eura odnosi se na isplatu 70% potraživanog iznosa Zahtjeva za nadoknadu sredstava br. 17 i 18, a iznos od 2.021.093,42 eura odnosi se na isplatu po odobrenim Zahtjevima za nadoknadu sredstava br. 17 i 18).</w:t>
      </w:r>
    </w:p>
    <w:p>
      <w:pPr>
        <w:jc w:val="both"/>
      </w:pPr>
      <w:r>
        <w:t xml:space="preserve">Osnivač, Krapinsko-zagorska županija osigurava sredstva za premošćivanje financiranja, a povrat sredstava evidentiran je na računu kapitalnih prijenosa između proračunskih korisnika istog proračuna temeljem prijenosa EU sredstava (FSEU.2022.MZ.022) u iznosu od 2.578.653,42 eura.</w:t>
      </w:r>
    </w:p>
    <w:p>
      <w:pPr>
        <w:jc w:val="both"/>
      </w:pPr>
      <w:r>
        <w:t xml:space="preserve">Rashodi koji se odnose na cjelovitu obnovu stare zgrade Bolnice za razdoblje od siječnja do rujna 2026. godine iznose 6.270.894,30 eura. Sredstva za premošćivanje financiranja u iznosu od 2.939.149,88 EUR osigurala je Krapinsko-zagorska županija dok je iznos od 3.331.744,42 EUR evidentiran na izvoru 581 - Mehanizam za oporavak i otpornost - bespovratna sredstva. Radovi su završeni 12. lipnja ove godine te je ishođen energetski certifikat za Staru zgradu.</w:t>
      </w:r>
    </w:p>
    <w:p>
      <w:pPr>
        <w:jc w:val="both"/>
      </w:pPr>
      <w:r>
        <w:t xml:space="preserve">Cjelovita obnova Stare zgrade počela je u studenom 2024. godine. S izvođačem radova je 28. listopada 2024. sklopljen ugovor čija je ukupna vrijednost 15.285.985,53 eura. Potom su sklapani i dodaci ugovoru te sveukupna ugovorena vrijednost radova sa svim dodacima ugovoru iznosi 16.484.319,09 eura s PDV-om, a realizacija ugovora iznosi 89,7%.</w:t>
      </w:r>
    </w:p>
    <w:p>
      <w:pPr>
        <w:jc w:val="both"/>
      </w:pPr>
      <w:r>
        <w:t xml:space="preserve">Odobrenim Zahtjevom za nadoknadom sredstava broj 17 u svibnju ove godine, u cijelosti je opravdan predujam te prema tome nema iskazane obveze za primljeni predujam.</w:t>
      </w:r>
    </w:p>
    <w:p>
      <w:pPr>
        <w:jc w:val="both"/>
      </w:pPr>
      <w:r>
        <w:t xml:space="preserve">Potraživanja za kapitalne pomoći iz državnog proračuna temeljem prijenosa EU sredstava iznose 2.787.763,78 eura i odnose se na iznos završnog Zahtjeva za nadoknadom sredstava čije se odobrenje očekuje u narednom razdoblju.</w:t>
      </w:r>
    </w:p>
    <w:p>
      <w:pPr>
        <w:jc w:val="both"/>
      </w:pPr>
      <w:r>
        <w:t xml:space="preserve"> </w:t>
      </w:r>
    </w:p>
    <w:p/>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docDefaults>
    <w:rPrDefault>
      <w:rPr>
        <w:rFonts w:ascii="Times New Roman" w:hAnsi="Times New Roman"/>
        <w:sz w:val="24"/>
      </w:rPr>
    </w:rPrDefault>
  </w:docDefaults>
  <w:style w:type="paragraph" w:styleId="Normal" w:default="true">
    <w:name w:val="Normal"/>
    <w:rPr>
      <w:rFonts w:ascii="Times New Roman" w:hAnsi="Times New Roman"/>
      <w:sz w:val="24"/>
    </w:r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0620af7f84434175" /><Relationship Type="http://schemas.openxmlformats.org/officeDocument/2006/relationships/numbering" Target="/word/numbering.xml" Id="R4a5b25997cba4f37" /></Relationships>
</file>